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925D8" w:rsidRDefault="00C45E3E" w:rsidP="00CD5D7B">
      <w:pPr>
        <w:pStyle w:val="Title"/>
      </w:pPr>
      <w:r w:rsidRPr="001925D8">
        <w:t>On modeling repeated interference in system level simulations</w:t>
      </w:r>
      <w:r w:rsidR="00EA0280" w:rsidRPr="001925D8">
        <w:t xml:space="preserve"> </w:t>
      </w:r>
    </w:p>
    <w:p w:rsidR="003B5A41" w:rsidRPr="001925D8" w:rsidRDefault="002D5956" w:rsidP="006A05B1">
      <w:pPr>
        <w:pStyle w:val="Heading1"/>
      </w:pPr>
      <w:bookmarkStart w:id="0" w:name="_Ref413203676"/>
      <w:r w:rsidRPr="001925D8">
        <w:t>Introduction</w:t>
      </w:r>
      <w:bookmarkEnd w:id="0"/>
    </w:p>
    <w:p w:rsidR="003F2BAD" w:rsidRPr="001925D8" w:rsidRDefault="00D21EB3" w:rsidP="003F2BAD">
      <w:pPr>
        <w:pStyle w:val="BodyText"/>
      </w:pPr>
      <w:r w:rsidRPr="001925D8">
        <w:t>At GERAN#67</w:t>
      </w:r>
      <w:r w:rsidR="00361A4C" w:rsidRPr="001925D8">
        <w:t xml:space="preserve"> a new </w:t>
      </w:r>
      <w:r w:rsidRPr="001925D8">
        <w:t>work item</w:t>
      </w:r>
      <w:r w:rsidR="00361A4C" w:rsidRPr="001925D8">
        <w:t xml:space="preserve"> named </w:t>
      </w:r>
      <w:r w:rsidRPr="001925D8">
        <w:rPr>
          <w:i/>
        </w:rPr>
        <w:t xml:space="preserve">Extended Coverage GSM (EC-GSM) for support of Cellular Internet of Things </w:t>
      </w:r>
      <w:r w:rsidR="00361A4C" w:rsidRPr="001925D8">
        <w:t xml:space="preserve">(WI code: </w:t>
      </w:r>
      <w:r w:rsidRPr="001925D8">
        <w:t>CIoT_EC_GSM</w:t>
      </w:r>
      <w:r w:rsidR="00361A4C" w:rsidRPr="001925D8">
        <w:t>)</w:t>
      </w:r>
      <w:r w:rsidRPr="001925D8">
        <w:t xml:space="preserve"> </w:t>
      </w:r>
      <w:r w:rsidR="00FC691E" w:rsidRPr="001925D8">
        <w:t>was approved, see</w:t>
      </w:r>
      <w:r w:rsidRPr="001925D8">
        <w:t xml:space="preserve"> </w:t>
      </w:r>
      <w:r w:rsidRPr="001925D8">
        <w:fldChar w:fldCharType="begin"/>
      </w:r>
      <w:r w:rsidRPr="001925D8">
        <w:instrText xml:space="preserve"> REF _Ref431943901 \r \h </w:instrText>
      </w:r>
      <w:r w:rsidRPr="001925D8">
        <w:fldChar w:fldCharType="separate"/>
      </w:r>
      <w:r w:rsidR="0000780F">
        <w:t>[1]</w:t>
      </w:r>
      <w:r w:rsidRPr="001925D8">
        <w:fldChar w:fldCharType="end"/>
      </w:r>
      <w:r w:rsidR="007B1A1C" w:rsidRPr="001925D8">
        <w:t>.</w:t>
      </w:r>
    </w:p>
    <w:p w:rsidR="00C45E3E" w:rsidRPr="001925D8" w:rsidRDefault="00C45E3E" w:rsidP="003F2BAD">
      <w:pPr>
        <w:pStyle w:val="BodyText"/>
      </w:pPr>
      <w:r w:rsidRPr="001925D8">
        <w:t xml:space="preserve">One important feature of the work is to introduce blind transmissions to extend coverage for different logical channels. </w:t>
      </w:r>
    </w:p>
    <w:p w:rsidR="008C6473" w:rsidRPr="001925D8" w:rsidRDefault="00C45E3E" w:rsidP="003F2BAD">
      <w:pPr>
        <w:pStyle w:val="BodyText"/>
      </w:pPr>
      <w:r w:rsidRPr="001925D8">
        <w:t xml:space="preserve">At the </w:t>
      </w:r>
      <w:r w:rsidR="005E099D" w:rsidRPr="001925D8">
        <w:t>2</w:t>
      </w:r>
      <w:r w:rsidR="005E099D" w:rsidRPr="001925D8">
        <w:rPr>
          <w:vertAlign w:val="superscript"/>
        </w:rPr>
        <w:t>nd</w:t>
      </w:r>
      <w:r w:rsidR="005E099D" w:rsidRPr="001925D8">
        <w:t xml:space="preserve"> telco on </w:t>
      </w:r>
      <w:r w:rsidRPr="001925D8">
        <w:t xml:space="preserve">EC-GSM and eDRX it was </w:t>
      </w:r>
      <w:r w:rsidR="005E099D" w:rsidRPr="001925D8">
        <w:t>raised that special consideration might be needed in modeling repeated interference in system level simulations.</w:t>
      </w:r>
      <w:r w:rsidR="0035136A" w:rsidRPr="001925D8">
        <w:t xml:space="preserve"> A contribution was also submitted to the 3</w:t>
      </w:r>
      <w:r w:rsidR="0035136A" w:rsidRPr="001925D8">
        <w:rPr>
          <w:vertAlign w:val="superscript"/>
        </w:rPr>
        <w:t>rd</w:t>
      </w:r>
      <w:r w:rsidR="0035136A" w:rsidRPr="001925D8">
        <w:t xml:space="preserve"> telco on EC-GSM and eDRX to continue the discussion.</w:t>
      </w:r>
    </w:p>
    <w:p w:rsidR="0035136A" w:rsidRPr="001925D8" w:rsidRDefault="0035136A" w:rsidP="003F2BAD">
      <w:pPr>
        <w:pStyle w:val="BodyText"/>
      </w:pPr>
      <w:r w:rsidRPr="001925D8">
        <w:t>In this contribution, the modeling of this aspect in different system level simulations used by the sourcing company is outlined.</w:t>
      </w:r>
    </w:p>
    <w:p w:rsidR="00D43F7D" w:rsidRPr="001925D8" w:rsidRDefault="00937F68" w:rsidP="006A05B1">
      <w:pPr>
        <w:pStyle w:val="Heading1"/>
      </w:pPr>
      <w:r w:rsidRPr="001925D8">
        <w:t>System simulators</w:t>
      </w:r>
    </w:p>
    <w:p w:rsidR="00937F68" w:rsidRPr="001925D8" w:rsidRDefault="00937F68" w:rsidP="00937F68">
      <w:pPr>
        <w:pStyle w:val="Heading2"/>
      </w:pPr>
      <w:r w:rsidRPr="001925D8">
        <w:t>General</w:t>
      </w:r>
    </w:p>
    <w:p w:rsidR="00A5248C" w:rsidRPr="001925D8" w:rsidRDefault="00937F68" w:rsidP="00937F68">
      <w:pPr>
        <w:pStyle w:val="BodyText"/>
      </w:pPr>
      <w:r w:rsidRPr="001925D8">
        <w:t>Three different simulators are used by the sourcing company to evaluate system level performance with the EC-EGPRS feature.</w:t>
      </w:r>
      <w:bookmarkStart w:id="1" w:name="_GoBack"/>
      <w:bookmarkEnd w:id="1"/>
    </w:p>
    <w:p w:rsidR="00937F68" w:rsidRPr="001925D8" w:rsidRDefault="00937F68" w:rsidP="00937F68">
      <w:pPr>
        <w:pStyle w:val="Heading2"/>
      </w:pPr>
      <w:r w:rsidRPr="001925D8">
        <w:t>Network synchronization procedures</w:t>
      </w:r>
      <w:r w:rsidR="00CD74EC" w:rsidRPr="001925D8">
        <w:rPr>
          <w:rStyle w:val="FootnoteReference"/>
        </w:rPr>
        <w:footnoteReference w:id="1"/>
      </w:r>
    </w:p>
    <w:p w:rsidR="00937F68" w:rsidRPr="001925D8" w:rsidRDefault="00623A11" w:rsidP="00937F68">
      <w:pPr>
        <w:pStyle w:val="BodyText"/>
      </w:pPr>
      <w:r w:rsidRPr="001925D8">
        <w:t xml:space="preserve">In case of evaluation of network synchronization, including FCCH and (EC-)SCH, a system simulator modeling oversampled IQ samples from different neighboring cells </w:t>
      </w:r>
      <w:r w:rsidR="0094565D" w:rsidRPr="001925D8">
        <w:t xml:space="preserve">is </w:t>
      </w:r>
      <w:r w:rsidRPr="001925D8">
        <w:t>used</w:t>
      </w:r>
      <w:r w:rsidR="00DE255B" w:rsidRPr="001925D8">
        <w:t xml:space="preserve">, see </w:t>
      </w:r>
      <w:r w:rsidR="00806351" w:rsidRPr="001925D8">
        <w:fldChar w:fldCharType="begin"/>
      </w:r>
      <w:r w:rsidR="00806351" w:rsidRPr="001925D8">
        <w:instrText xml:space="preserve"> REF _Ref441426820 \r \h </w:instrText>
      </w:r>
      <w:r w:rsidR="00806351" w:rsidRPr="001925D8">
        <w:fldChar w:fldCharType="separate"/>
      </w:r>
      <w:r w:rsidR="0000780F">
        <w:t>[3]</w:t>
      </w:r>
      <w:r w:rsidR="00806351" w:rsidRPr="001925D8">
        <w:fldChar w:fldCharType="end"/>
      </w:r>
      <w:r w:rsidRPr="001925D8">
        <w:t>.</w:t>
      </w:r>
      <w:r w:rsidR="000A3308" w:rsidRPr="001925D8">
        <w:t xml:space="preserve"> In effect, this simulator can be seen as integrating a link simulator object for each synchronization attempt. With this level of detail on system level, effects like coherent repetitions will be taken into account by the simulations performed.</w:t>
      </w:r>
    </w:p>
    <w:p w:rsidR="0026492D" w:rsidRDefault="0026492D" w:rsidP="00937F68">
      <w:pPr>
        <w:pStyle w:val="BodyText"/>
      </w:pPr>
      <w:r w:rsidRPr="001925D8">
        <w:t>One can note that in earlier investigations presented of network synchronization</w:t>
      </w:r>
      <w:r w:rsidR="00311A07" w:rsidRPr="001925D8">
        <w:t xml:space="preserve">, see </w:t>
      </w:r>
      <w:r w:rsidR="00806351" w:rsidRPr="001925D8">
        <w:fldChar w:fldCharType="begin"/>
      </w:r>
      <w:r w:rsidR="00806351" w:rsidRPr="001925D8">
        <w:instrText xml:space="preserve"> REF _Ref441426857 \r \h </w:instrText>
      </w:r>
      <w:r w:rsidR="00806351" w:rsidRPr="001925D8">
        <w:fldChar w:fldCharType="separate"/>
      </w:r>
      <w:r w:rsidR="0000780F">
        <w:t>[4]</w:t>
      </w:r>
      <w:r w:rsidR="00806351" w:rsidRPr="001925D8">
        <w:fldChar w:fldCharType="end"/>
      </w:r>
      <w:r w:rsidRPr="001925D8">
        <w:t>, EC-SCH mapping has not been used when modeling neighboring</w:t>
      </w:r>
      <w:r w:rsidR="0094565D" w:rsidRPr="001925D8">
        <w:t>, interfering,</w:t>
      </w:r>
      <w:r w:rsidRPr="001925D8">
        <w:t xml:space="preserve"> cells, implying that a level of modeling has not been taken into account that could have an impact to network synchronization performance relating to repeated interference. Especially this would be true if cells are time synchronized </w:t>
      </w:r>
      <w:r w:rsidR="00311A07" w:rsidRPr="001925D8">
        <w:t>(EC-SCH overlapping from multiple cells). However, with the synchronization algorithm used on the FCCH which does not rely on coherent detection, and an EC-SCH acquisition solely based on soft bit combining, the impact from repeated interference is not expected to have an impact on the presented result in this regard. Different conclusions could be reached if other algorithms would have been used in the networks synchronization.</w:t>
      </w:r>
    </w:p>
    <w:p w:rsidR="00457A3F" w:rsidRPr="001925D8" w:rsidRDefault="00457A3F" w:rsidP="00937F68">
      <w:pPr>
        <w:pStyle w:val="BodyText"/>
      </w:pPr>
      <w:r>
        <w:lastRenderedPageBreak/>
        <w:t>The network synchronization level assumed in the simulations have been a random symbol offset between cells.</w:t>
      </w:r>
    </w:p>
    <w:p w:rsidR="003C6D52" w:rsidRPr="001925D8" w:rsidRDefault="00937F68" w:rsidP="00937F68">
      <w:pPr>
        <w:pStyle w:val="Heading2"/>
      </w:pPr>
      <w:r w:rsidRPr="001925D8">
        <w:t>EC-CCCH procedures</w:t>
      </w:r>
    </w:p>
    <w:p w:rsidR="00311A07" w:rsidRDefault="00B74590" w:rsidP="00311A07">
      <w:pPr>
        <w:pStyle w:val="BodyText"/>
      </w:pPr>
      <w:r w:rsidRPr="001925D8">
        <w:t xml:space="preserve">To evaluate EC-CCCH procedures (EC-RACH and EC-AGCH) a similar approach has been taken as for the network synchronization, i.e. that the physical layer in the whole system is modeled on </w:t>
      </w:r>
      <w:r w:rsidR="00E50117" w:rsidRPr="001925D8">
        <w:t xml:space="preserve">IQ level, see </w:t>
      </w:r>
      <w:r w:rsidR="00A351FF" w:rsidRPr="001925D8">
        <w:fldChar w:fldCharType="begin"/>
      </w:r>
      <w:r w:rsidR="00A351FF" w:rsidRPr="001925D8">
        <w:instrText xml:space="preserve"> REF _Ref441427224 \r \h </w:instrText>
      </w:r>
      <w:r w:rsidR="00A351FF" w:rsidRPr="001925D8">
        <w:fldChar w:fldCharType="separate"/>
      </w:r>
      <w:r w:rsidR="0000780F">
        <w:t>[5]</w:t>
      </w:r>
      <w:r w:rsidR="00A351FF" w:rsidRPr="001925D8">
        <w:fldChar w:fldCharType="end"/>
      </w:r>
      <w:r w:rsidR="00E50117" w:rsidRPr="001925D8">
        <w:t>.</w:t>
      </w:r>
      <w:r w:rsidR="00807DB8" w:rsidRPr="001925D8">
        <w:t xml:space="preserve"> Hence, in all results presented so far</w:t>
      </w:r>
      <w:r w:rsidR="00CB4FE8" w:rsidRPr="001925D8">
        <w:t xml:space="preserve"> all aspects of coherency and repeated carrier/interferer have been modeled.</w:t>
      </w:r>
      <w:r w:rsidR="004609F5" w:rsidRPr="001925D8">
        <w:t xml:space="preserve"> In these simulations, all carrier signals that are repeated will also be modeled as repeated interferers and hence potentially cause issues with reduced processing gain from the repetitions.</w:t>
      </w:r>
    </w:p>
    <w:p w:rsidR="00271D77" w:rsidRPr="001925D8" w:rsidRDefault="00271D77" w:rsidP="00311A07">
      <w:pPr>
        <w:pStyle w:val="BodyText"/>
      </w:pPr>
      <w:r>
        <w:t>It has further been assumed that all EC-CCCH coverage classes within the same cell and interfering cells are fully overlapped</w:t>
      </w:r>
      <w:r w:rsidR="00DF699A">
        <w:t xml:space="preserve"> in time</w:t>
      </w:r>
      <w:r>
        <w:t>.</w:t>
      </w:r>
    </w:p>
    <w:p w:rsidR="00937F68" w:rsidRPr="001925D8" w:rsidRDefault="00937F68" w:rsidP="00937F68">
      <w:pPr>
        <w:pStyle w:val="Heading2"/>
      </w:pPr>
      <w:r w:rsidRPr="001925D8">
        <w:t>Data capacity evaluations</w:t>
      </w:r>
    </w:p>
    <w:p w:rsidR="00E105AA" w:rsidRPr="001925D8" w:rsidRDefault="00E105AA" w:rsidP="001925D8">
      <w:pPr>
        <w:pStyle w:val="Heading3"/>
      </w:pPr>
      <w:r w:rsidRPr="001925D8">
        <w:t>General</w:t>
      </w:r>
    </w:p>
    <w:p w:rsidR="00937F68" w:rsidRDefault="002D1B7D" w:rsidP="00937F68">
      <w:pPr>
        <w:pStyle w:val="BodyText"/>
      </w:pPr>
      <w:r w:rsidRPr="001925D8">
        <w:t xml:space="preserve">When evaluating the traffic model of MAR periodic/network command/Application Ack a system simulator with detailed protocol modeling has been used, </w:t>
      </w:r>
      <w:r w:rsidR="00833C70" w:rsidRPr="001925D8">
        <w:t xml:space="preserve">which, on the radio interface involves modeling </w:t>
      </w:r>
      <w:r w:rsidR="00A749E3" w:rsidRPr="001925D8">
        <w:t>of EC-PACCH and EC-PDTCH.</w:t>
      </w:r>
      <w:r w:rsidR="00D53584" w:rsidRPr="001925D8">
        <w:t xml:space="preserve"> So, far the effect of repeated and coherent carriers have been modeled, see</w:t>
      </w:r>
      <w:r w:rsidR="00707DB9">
        <w:fldChar w:fldCharType="begin"/>
      </w:r>
      <w:r w:rsidR="00707DB9">
        <w:instrText xml:space="preserve"> REF _Ref441427721 \r \h </w:instrText>
      </w:r>
      <w:r w:rsidR="00707DB9">
        <w:fldChar w:fldCharType="separate"/>
      </w:r>
      <w:r w:rsidR="0000780F">
        <w:t>[7]</w:t>
      </w:r>
      <w:r w:rsidR="00707DB9">
        <w:fldChar w:fldCharType="end"/>
      </w:r>
      <w:r w:rsidR="00D53584" w:rsidRPr="001925D8">
        <w:t xml:space="preserve">, but not the effects from </w:t>
      </w:r>
      <w:r w:rsidR="00CD74EC" w:rsidRPr="001925D8">
        <w:t xml:space="preserve">repeated </w:t>
      </w:r>
      <w:r w:rsidR="00D53584" w:rsidRPr="001925D8">
        <w:t>interference.</w:t>
      </w:r>
    </w:p>
    <w:p w:rsidR="00707DB9" w:rsidRPr="001925D8" w:rsidRDefault="00707DB9" w:rsidP="00937F68">
      <w:pPr>
        <w:pStyle w:val="BodyText"/>
      </w:pPr>
      <w:r w:rsidRPr="00A5248C">
        <w:t xml:space="preserve">The system simulator used for </w:t>
      </w:r>
      <w:r w:rsidR="00583930">
        <w:t>data capacity evaluation</w:t>
      </w:r>
      <w:r w:rsidRPr="00A5248C">
        <w:t xml:space="preserve"> use a network wide timeslot alignment with a random timeslot offset between cells.</w:t>
      </w:r>
      <w:r w:rsidR="00583930">
        <w:t xml:space="preserve"> </w:t>
      </w:r>
    </w:p>
    <w:p w:rsidR="00E105AA" w:rsidRPr="001925D8" w:rsidRDefault="00E105AA" w:rsidP="001C121A">
      <w:pPr>
        <w:pStyle w:val="Heading3"/>
      </w:pPr>
      <w:r w:rsidRPr="001925D8">
        <w:t>Model for coherent repeated interference</w:t>
      </w:r>
    </w:p>
    <w:p w:rsidR="00D53584" w:rsidRPr="001925D8" w:rsidRDefault="00CD0E73" w:rsidP="00937F68">
      <w:pPr>
        <w:pStyle w:val="BodyText"/>
      </w:pPr>
      <w:r w:rsidRPr="001925D8">
        <w:t>A model is proposed to be included that assumes ideal processing gain for the interference</w:t>
      </w:r>
      <w:r w:rsidR="000F0ABF" w:rsidRPr="001925D8">
        <w:t xml:space="preserve"> (i.e. worst case modeling)</w:t>
      </w:r>
      <w:r w:rsidRPr="001925D8">
        <w:t>, in case repeated and coherently transmitted.</w:t>
      </w:r>
      <w:r w:rsidR="000F0ABF" w:rsidRPr="001925D8">
        <w:t xml:space="preserve"> In addition, CCI and ACI is not distinguished, hence both type of interferer energies will experience ideal processing gain. This should typically not apply for ACI</w:t>
      </w:r>
      <w:r w:rsidR="00A351FF" w:rsidRPr="001925D8">
        <w:t xml:space="preserve"> due to the rotating ACI signal. I.e. if the receiver is assuming blind coherent accumulation across TSs the adjacent channel interferer will not be coherently accumulated.</w:t>
      </w:r>
      <w:r w:rsidR="000F0ABF" w:rsidRPr="001925D8">
        <w:t xml:space="preserve"> </w:t>
      </w:r>
      <w:r w:rsidR="00A351FF" w:rsidRPr="001925D8">
        <w:t>Still, this is modeled as coherent interference</w:t>
      </w:r>
      <w:r w:rsidR="000F0ABF" w:rsidRPr="001925D8">
        <w:t xml:space="preserve"> for </w:t>
      </w:r>
      <w:r w:rsidR="003B7319" w:rsidRPr="001925D8">
        <w:t>simpl</w:t>
      </w:r>
      <w:r w:rsidR="00A351FF" w:rsidRPr="001925D8">
        <w:t>icity</w:t>
      </w:r>
      <w:r w:rsidR="000F0ABF" w:rsidRPr="001925D8">
        <w:t>.</w:t>
      </w:r>
    </w:p>
    <w:p w:rsidR="00E81AEE" w:rsidRPr="001925D8" w:rsidRDefault="001559BB" w:rsidP="00937F68">
      <w:pPr>
        <w:pStyle w:val="BodyText"/>
      </w:pPr>
      <w:r w:rsidRPr="001925D8">
        <w:t>In the simulations</w:t>
      </w:r>
      <w:r w:rsidR="003B7319" w:rsidRPr="001925D8">
        <w:t>,</w:t>
      </w:r>
      <w:r w:rsidRPr="001925D8">
        <w:t xml:space="preserve"> interferer energy is calculated on a per burst basis, see </w:t>
      </w:r>
      <w:r w:rsidR="00A351FF" w:rsidRPr="001925D8">
        <w:fldChar w:fldCharType="begin"/>
      </w:r>
      <w:r w:rsidR="00A351FF" w:rsidRPr="001925D8">
        <w:instrText xml:space="preserve"> REF _Ref441427421 \r \h </w:instrText>
      </w:r>
      <w:r w:rsidR="00A351FF" w:rsidRPr="001925D8">
        <w:fldChar w:fldCharType="separate"/>
      </w:r>
      <w:r w:rsidR="0000780F">
        <w:t>[6]</w:t>
      </w:r>
      <w:r w:rsidR="00A351FF" w:rsidRPr="001925D8">
        <w:fldChar w:fldCharType="end"/>
      </w:r>
      <w:r w:rsidRPr="001925D8">
        <w:t>.</w:t>
      </w:r>
      <w:r w:rsidR="00A05989" w:rsidRPr="001925D8">
        <w:t xml:space="preserve"> With the new model</w:t>
      </w:r>
      <w:r w:rsidR="00937533" w:rsidRPr="001925D8">
        <w:t>,</w:t>
      </w:r>
      <w:r w:rsidR="00A05989" w:rsidRPr="001925D8">
        <w:t xml:space="preserve"> interfering energy coming from repeated interference i</w:t>
      </w:r>
      <w:r w:rsidR="00937533" w:rsidRPr="001925D8">
        <w:t>s increased by a factor of four, under the condition that the carrier is of CC2, CC3 or CC4</w:t>
      </w:r>
      <w:r w:rsidR="007A07E8" w:rsidRPr="001925D8">
        <w:t xml:space="preserve"> (i.e. the user itself is using blind transmissions)</w:t>
      </w:r>
      <w:r w:rsidR="00937533" w:rsidRPr="001925D8">
        <w:t>.</w:t>
      </w:r>
    </w:p>
    <w:p w:rsidR="00D50A35" w:rsidRPr="001925D8" w:rsidRDefault="00D50A35" w:rsidP="00937F68">
      <w:pPr>
        <w:pStyle w:val="BodyText"/>
      </w:pPr>
      <w:r w:rsidRPr="001925D8">
        <w:t xml:space="preserve">Taking a simple example of the four TS of a TDMA frame, assuming the carrier </w:t>
      </w:r>
      <w:r w:rsidR="00093C4B" w:rsidRPr="001925D8">
        <w:t xml:space="preserve">power </w:t>
      </w:r>
      <w:r w:rsidRPr="001925D8">
        <w:t xml:space="preserve">to be 1 and interfering energy to be 2, the current SINR model of repeated interference, see [RR], would model the SINR </w:t>
      </w:r>
      <w:r w:rsidR="00093C4B" w:rsidRPr="001925D8">
        <w:t>with a four times increase in power for the carrier per doubling in transmissions, while the interferer would only increase in power by a factor two when the number of transmissions is double</w:t>
      </w:r>
      <w:r w:rsidR="00CA5402" w:rsidRPr="001925D8">
        <w:t>d</w:t>
      </w:r>
      <w:r w:rsidR="00093C4B" w:rsidRPr="001925D8">
        <w:t xml:space="preserve"> </w:t>
      </w:r>
      <w:r w:rsidRPr="001925D8">
        <w:t>(in the example discarding any impact from the thermal noise) as:</w:t>
      </w:r>
    </w:p>
    <w:p w:rsidR="00D50A35" w:rsidRPr="001925D8" w:rsidRDefault="007C5009" w:rsidP="00937F68">
      <w:pPr>
        <w:pStyle w:val="BodyText"/>
      </w:pPr>
      <m:oMathPara>
        <m:oMath>
          <m:sSub>
            <m:sSubPr>
              <m:ctrlPr>
                <w:rPr>
                  <w:rFonts w:ascii="Cambria Math" w:hAnsi="Cambria Math"/>
                  <w:i/>
                </w:rPr>
              </m:ctrlPr>
            </m:sSubPr>
            <m:e>
              <m:r>
                <w:rPr>
                  <w:rFonts w:ascii="Cambria Math" w:hAnsi="Cambria Math"/>
                </w:rPr>
                <m:t>SINR</m:t>
              </m:r>
            </m:e>
            <m:sub>
              <m:r>
                <w:rPr>
                  <w:rFonts w:ascii="Cambria Math" w:hAnsi="Cambria Math"/>
                </w:rPr>
                <m:t>accum</m:t>
              </m:r>
            </m:sub>
          </m:sSub>
          <m:d>
            <m:dPr>
              <m:begChr m:val="["/>
              <m:endChr m:val="]"/>
              <m:ctrlPr>
                <w:rPr>
                  <w:rFonts w:ascii="Cambria Math" w:hAnsi="Cambria Math"/>
                  <w:i/>
                </w:rPr>
              </m:ctrlPr>
            </m:dPr>
            <m:e>
              <m:r>
                <w:rPr>
                  <w:rFonts w:ascii="Cambria Math" w:hAnsi="Cambria Math"/>
                </w:rPr>
                <m:t>dB</m:t>
              </m:r>
            </m:e>
          </m:d>
          <m:r>
            <w:rPr>
              <w:rFonts w:ascii="Cambria Math" w:hAnsi="Cambria Math"/>
            </w:rPr>
            <m:t>=10log10</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n=0</m:t>
                  </m:r>
                </m:sub>
                <m:sup>
                  <m:r>
                    <w:rPr>
                      <w:rFonts w:ascii="Cambria Math" w:hAnsi="Cambria Math"/>
                    </w:rPr>
                    <m:t>3</m:t>
                  </m:r>
                </m:sup>
                <m:e>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I</m:t>
                          </m:r>
                        </m:e>
                        <m:sub>
                          <m:r>
                            <w:rPr>
                              <w:rFonts w:ascii="Cambria Math" w:hAnsi="Cambria Math"/>
                            </w:rPr>
                            <m:t>n</m:t>
                          </m:r>
                        </m:sub>
                      </m:sSub>
                    </m:den>
                  </m:f>
                </m:e>
              </m:nary>
            </m:e>
          </m:d>
          <m:r>
            <w:rPr>
              <w:rFonts w:ascii="Cambria Math" w:hAnsi="Cambria Math"/>
            </w:rPr>
            <m:t>=10log10</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4</m:t>
                      </m:r>
                    </m:e>
                    <m:sup>
                      <m:r>
                        <w:rPr>
                          <w:rFonts w:ascii="Cambria Math" w:hAnsi="Cambria Math"/>
                        </w:rPr>
                        <m:t>2</m:t>
                      </m:r>
                    </m:sup>
                  </m:sSup>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*2</m:t>
                  </m:r>
                </m:den>
              </m:f>
            </m:e>
          </m:d>
          <m:r>
            <w:rPr>
              <w:rFonts w:ascii="Cambria Math" w:hAnsi="Cambria Math"/>
            </w:rPr>
            <m:t>=3 dB</m:t>
          </m:r>
        </m:oMath>
      </m:oMathPara>
    </w:p>
    <w:p w:rsidR="00937F68" w:rsidRPr="001925D8" w:rsidRDefault="00D50A35" w:rsidP="00937F68">
      <w:pPr>
        <w:pStyle w:val="BodyText"/>
      </w:pPr>
      <w:r w:rsidRPr="001925D8">
        <w:t>With the modified SINR model</w:t>
      </w:r>
      <w:r w:rsidR="00093C4B" w:rsidRPr="001925D8">
        <w:t xml:space="preserve"> also the interferer will increase its power by a factor four two when the number of transmissions is doubled</w:t>
      </w:r>
      <w:r w:rsidRPr="001925D8">
        <w:t>,</w:t>
      </w:r>
      <w:r w:rsidR="00CA5402" w:rsidRPr="001925D8">
        <w:t xml:space="preserve"> so</w:t>
      </w:r>
      <w:r w:rsidRPr="001925D8">
        <w:t xml:space="preserve"> the SINR used in the link-to-system mapping is instead</w:t>
      </w:r>
    </w:p>
    <w:p w:rsidR="00D50A35" w:rsidRPr="001925D8" w:rsidRDefault="007C5009" w:rsidP="00D50A35">
      <w:pPr>
        <w:pStyle w:val="BodyText"/>
      </w:pPr>
      <m:oMathPara>
        <m:oMath>
          <m:sSub>
            <m:sSubPr>
              <m:ctrlPr>
                <w:rPr>
                  <w:rFonts w:ascii="Cambria Math" w:hAnsi="Cambria Math"/>
                  <w:i/>
                </w:rPr>
              </m:ctrlPr>
            </m:sSubPr>
            <m:e>
              <m:r>
                <w:rPr>
                  <w:rFonts w:ascii="Cambria Math" w:hAnsi="Cambria Math"/>
                </w:rPr>
                <m:t>SINR</m:t>
              </m:r>
            </m:e>
            <m:sub>
              <m:r>
                <w:rPr>
                  <w:rFonts w:ascii="Cambria Math" w:hAnsi="Cambria Math"/>
                </w:rPr>
                <m:t>accum</m:t>
              </m:r>
            </m:sub>
          </m:sSub>
          <m:d>
            <m:dPr>
              <m:begChr m:val="["/>
              <m:endChr m:val="]"/>
              <m:ctrlPr>
                <w:rPr>
                  <w:rFonts w:ascii="Cambria Math" w:hAnsi="Cambria Math"/>
                  <w:i/>
                </w:rPr>
              </m:ctrlPr>
            </m:dPr>
            <m:e>
              <m:r>
                <w:rPr>
                  <w:rFonts w:ascii="Cambria Math" w:hAnsi="Cambria Math"/>
                </w:rPr>
                <m:t>dB</m:t>
              </m:r>
            </m:e>
          </m:d>
          <m:r>
            <w:rPr>
              <w:rFonts w:ascii="Cambria Math" w:hAnsi="Cambria Math"/>
            </w:rPr>
            <m:t>=10log10</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n=0</m:t>
                  </m:r>
                </m:sub>
                <m:sup>
                  <m:r>
                    <w:rPr>
                      <w:rFonts w:ascii="Cambria Math" w:hAnsi="Cambria Math"/>
                    </w:rPr>
                    <m:t>3</m:t>
                  </m:r>
                </m:sup>
                <m:e>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r>
                        <w:rPr>
                          <w:rFonts w:ascii="Cambria Math" w:hAnsi="Cambria Math"/>
                        </w:rPr>
                        <m:t>4</m:t>
                      </m:r>
                      <m:sSub>
                        <m:sSubPr>
                          <m:ctrlPr>
                            <w:rPr>
                              <w:rFonts w:ascii="Cambria Math" w:hAnsi="Cambria Math"/>
                              <w:i/>
                            </w:rPr>
                          </m:ctrlPr>
                        </m:sSubPr>
                        <m:e>
                          <m:r>
                            <w:rPr>
                              <w:rFonts w:ascii="Cambria Math" w:hAnsi="Cambria Math"/>
                            </w:rPr>
                            <m:t>I</m:t>
                          </m:r>
                        </m:e>
                        <m:sub>
                          <m:r>
                            <w:rPr>
                              <w:rFonts w:ascii="Cambria Math" w:hAnsi="Cambria Math"/>
                            </w:rPr>
                            <m:t>n</m:t>
                          </m:r>
                        </m:sub>
                      </m:sSub>
                    </m:den>
                  </m:f>
                </m:e>
              </m:nary>
            </m:e>
          </m:d>
          <m:r>
            <w:rPr>
              <w:rFonts w:ascii="Cambria Math" w:hAnsi="Cambria Math"/>
            </w:rPr>
            <m:t>=10log10</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4</m:t>
                      </m:r>
                    </m:e>
                    <m:sup>
                      <m:r>
                        <w:rPr>
                          <w:rFonts w:ascii="Cambria Math" w:hAnsi="Cambria Math"/>
                        </w:rPr>
                        <m:t>2</m:t>
                      </m:r>
                    </m:sup>
                  </m:sSup>
                  <m:r>
                    <w:rPr>
                      <w:rFonts w:ascii="Cambria Math" w:hAnsi="Cambria Math"/>
                    </w:rPr>
                    <m:t>*1</m:t>
                  </m:r>
                </m:num>
                <m:den>
                  <m:sSup>
                    <m:sSupPr>
                      <m:ctrlPr>
                        <w:rPr>
                          <w:rFonts w:ascii="Cambria Math" w:hAnsi="Cambria Math"/>
                          <w:i/>
                        </w:rPr>
                      </m:ctrlPr>
                    </m:sSupPr>
                    <m:e>
                      <m:r>
                        <w:rPr>
                          <w:rFonts w:ascii="Cambria Math" w:hAnsi="Cambria Math"/>
                        </w:rPr>
                        <m:t>4</m:t>
                      </m:r>
                    </m:e>
                    <m:sup>
                      <m:r>
                        <w:rPr>
                          <w:rFonts w:ascii="Cambria Math" w:hAnsi="Cambria Math"/>
                        </w:rPr>
                        <m:t>2</m:t>
                      </m:r>
                    </m:sup>
                  </m:sSup>
                  <m:r>
                    <w:rPr>
                      <w:rFonts w:ascii="Cambria Math" w:hAnsi="Cambria Math"/>
                    </w:rPr>
                    <m:t>*2</m:t>
                  </m:r>
                </m:den>
              </m:f>
            </m:e>
          </m:d>
          <m:r>
            <w:rPr>
              <w:rFonts w:ascii="Cambria Math" w:hAnsi="Cambria Math"/>
            </w:rPr>
            <m:t>=-3 dB</m:t>
          </m:r>
        </m:oMath>
      </m:oMathPara>
    </w:p>
    <w:p w:rsidR="00D50A35" w:rsidRPr="001925D8" w:rsidRDefault="00D50A35" w:rsidP="00937F68">
      <w:pPr>
        <w:pStyle w:val="BodyText"/>
      </w:pPr>
      <w:r w:rsidRPr="001925D8">
        <w:t xml:space="preserve">I.e. </w:t>
      </w:r>
      <w:r w:rsidR="00CA5402" w:rsidRPr="001925D8">
        <w:t xml:space="preserve">the </w:t>
      </w:r>
      <w:r w:rsidRPr="001925D8">
        <w:t>processing gain in the reception of a coherently repeated carrier</w:t>
      </w:r>
      <w:r w:rsidR="00CA5402" w:rsidRPr="001925D8">
        <w:t xml:space="preserve"> will be cancelled out completely by the processing gain in the reception of a coherently repeated interferer</w:t>
      </w:r>
      <w:r w:rsidRPr="001925D8">
        <w:t>.</w:t>
      </w:r>
    </w:p>
    <w:p w:rsidR="00CF2FCC" w:rsidRPr="001925D8" w:rsidRDefault="00CF2FCC" w:rsidP="00937F68">
      <w:pPr>
        <w:pStyle w:val="BodyText"/>
      </w:pPr>
      <w:r w:rsidRPr="001925D8">
        <w:t>It should be noted that the model if applied as above is modeling all interference as fully overlapping, i.e. a partly overlapping assignment of blind transmissions between cells is not considered. It can thus be seen as a pessimistic model.</w:t>
      </w:r>
    </w:p>
    <w:p w:rsidR="00E105AA" w:rsidRPr="001925D8" w:rsidRDefault="00E105AA" w:rsidP="001C121A">
      <w:pPr>
        <w:pStyle w:val="Heading3"/>
      </w:pPr>
      <w:r w:rsidRPr="001925D8">
        <w:t>Impact from interference model</w:t>
      </w:r>
    </w:p>
    <w:p w:rsidR="00D50A35" w:rsidRPr="001925D8" w:rsidRDefault="00E105AA" w:rsidP="00937F68">
      <w:pPr>
        <w:pStyle w:val="BodyText"/>
      </w:pPr>
      <w:r w:rsidRPr="001925D8">
        <w:t>Earlier investigations have been re-run with the new model in place. The most challenging scenario from the modeling perspective</w:t>
      </w:r>
      <w:r w:rsidR="00FC708A" w:rsidRPr="001925D8">
        <w:t xml:space="preserve"> </w:t>
      </w:r>
      <w:r w:rsidR="00590764" w:rsidRPr="001925D8">
        <w:t xml:space="preserve">has </w:t>
      </w:r>
      <w:r w:rsidR="00FC708A" w:rsidRPr="001925D8">
        <w:t>been used for the investigation:</w:t>
      </w:r>
    </w:p>
    <w:p w:rsidR="00FC708A" w:rsidRPr="001925D8" w:rsidRDefault="00FC708A" w:rsidP="00FC708A">
      <w:pPr>
        <w:pStyle w:val="BodyText"/>
        <w:numPr>
          <w:ilvl w:val="0"/>
          <w:numId w:val="30"/>
        </w:numPr>
      </w:pPr>
      <w:r w:rsidRPr="001925D8">
        <w:t>DL: 33 dBm MSs, i.e. more users in extended coverage on the DL.</w:t>
      </w:r>
    </w:p>
    <w:p w:rsidR="00FC708A" w:rsidRPr="001925D8" w:rsidRDefault="00FC708A" w:rsidP="00FC708A">
      <w:pPr>
        <w:pStyle w:val="BodyText"/>
        <w:numPr>
          <w:ilvl w:val="0"/>
          <w:numId w:val="30"/>
        </w:numPr>
      </w:pPr>
      <w:r w:rsidRPr="001925D8">
        <w:t>UL: 23 dBm MSs, i.e. more users in extended coverage on the UL.</w:t>
      </w:r>
    </w:p>
    <w:p w:rsidR="00FC708A" w:rsidRPr="001925D8" w:rsidRDefault="00C25BE1" w:rsidP="00937F68">
      <w:pPr>
        <w:pStyle w:val="BodyText"/>
      </w:pPr>
      <w:r w:rsidRPr="001925D8">
        <w:t xml:space="preserve">Simulations from </w:t>
      </w:r>
      <w:r w:rsidR="00A12A7F" w:rsidRPr="001925D8">
        <w:fldChar w:fldCharType="begin"/>
      </w:r>
      <w:r w:rsidR="00A12A7F" w:rsidRPr="001925D8">
        <w:instrText xml:space="preserve"> REF _Ref441427721 \r \h </w:instrText>
      </w:r>
      <w:r w:rsidR="00A12A7F" w:rsidRPr="001925D8">
        <w:fldChar w:fldCharType="separate"/>
      </w:r>
      <w:r w:rsidR="0000780F">
        <w:t>[7]</w:t>
      </w:r>
      <w:r w:rsidR="00A12A7F" w:rsidRPr="001925D8">
        <w:fldChar w:fldCharType="end"/>
      </w:r>
      <w:r w:rsidRPr="001925D8">
        <w:t xml:space="preserve"> have been re-produced, see </w:t>
      </w:r>
      <w:r w:rsidRPr="001925D8">
        <w:fldChar w:fldCharType="begin"/>
      </w:r>
      <w:r w:rsidRPr="001925D8">
        <w:instrText xml:space="preserve"> REF _Ref440973221 \h </w:instrText>
      </w:r>
      <w:r w:rsidRPr="001925D8">
        <w:fldChar w:fldCharType="separate"/>
      </w:r>
      <w:r w:rsidR="0000780F" w:rsidRPr="001925D8">
        <w:t xml:space="preserve">Table </w:t>
      </w:r>
      <w:r w:rsidR="0000780F">
        <w:rPr>
          <w:noProof/>
        </w:rPr>
        <w:t>1</w:t>
      </w:r>
      <w:r w:rsidRPr="001925D8">
        <w:fldChar w:fldCharType="end"/>
      </w:r>
      <w:r w:rsidRPr="001925D8">
        <w:t>.</w:t>
      </w:r>
    </w:p>
    <w:p w:rsidR="00C25BE1" w:rsidRPr="001925D8" w:rsidRDefault="00C25BE1" w:rsidP="00C25BE1">
      <w:pPr>
        <w:pStyle w:val="Caption"/>
        <w:keepNext/>
      </w:pPr>
      <w:bookmarkStart w:id="2" w:name="_Ref440973221"/>
      <w:r w:rsidRPr="001925D8">
        <w:t xml:space="preserve">Table </w:t>
      </w:r>
      <w:r w:rsidR="007C5009">
        <w:fldChar w:fldCharType="begin"/>
      </w:r>
      <w:r w:rsidR="007C5009">
        <w:instrText xml:space="preserve"> SEQ Table \* ARABIC </w:instrText>
      </w:r>
      <w:r w:rsidR="007C5009">
        <w:fldChar w:fldCharType="separate"/>
      </w:r>
      <w:r w:rsidR="0000780F">
        <w:rPr>
          <w:noProof/>
        </w:rPr>
        <w:t>1</w:t>
      </w:r>
      <w:r w:rsidR="007C5009">
        <w:rPr>
          <w:noProof/>
        </w:rPr>
        <w:fldChar w:fldCharType="end"/>
      </w:r>
      <w:bookmarkEnd w:id="2"/>
      <w:r w:rsidR="004A1324" w:rsidRPr="004D4838">
        <w:t>:</w:t>
      </w:r>
      <w:r w:rsidR="004A1324" w:rsidRPr="004D4838">
        <w:tab/>
      </w:r>
      <w:r w:rsidRPr="001925D8">
        <w:t xml:space="preserve">Simulated scenarios and results for </w:t>
      </w:r>
      <w:r w:rsidR="004A1324">
        <w:t>EC-</w:t>
      </w:r>
      <w:r w:rsidRPr="001925D8">
        <w:t>PDCH</w:t>
      </w:r>
      <w:r w:rsidR="007F3DAA" w:rsidRPr="001925D8">
        <w:t>. Repetitions per CC [1,4,8,16].</w:t>
      </w:r>
    </w:p>
    <w:tbl>
      <w:tblPr>
        <w:tblStyle w:val="TableGrid"/>
        <w:tblW w:w="6293" w:type="dxa"/>
        <w:jc w:val="center"/>
        <w:tblLook w:val="04A0" w:firstRow="1" w:lastRow="0" w:firstColumn="1" w:lastColumn="0" w:noHBand="0" w:noVBand="1"/>
      </w:tblPr>
      <w:tblGrid>
        <w:gridCol w:w="1372"/>
        <w:gridCol w:w="1372"/>
        <w:gridCol w:w="1157"/>
        <w:gridCol w:w="1116"/>
        <w:gridCol w:w="1276"/>
      </w:tblGrid>
      <w:tr w:rsidR="00E800F5" w:rsidRPr="001925D8" w:rsidTr="00E800F5">
        <w:trPr>
          <w:jc w:val="center"/>
        </w:trPr>
        <w:tc>
          <w:tcPr>
            <w:tcW w:w="137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800F5" w:rsidRPr="001925D8" w:rsidRDefault="00E800F5" w:rsidP="00C25BE1">
            <w:pPr>
              <w:pStyle w:val="TableStyle"/>
              <w:keepNext/>
              <w:jc w:val="center"/>
              <w:rPr>
                <w:sz w:val="20"/>
              </w:rPr>
            </w:pPr>
            <w:r w:rsidRPr="001925D8">
              <w:rPr>
                <w:sz w:val="20"/>
              </w:rPr>
              <w:t>Interferer model</w:t>
            </w:r>
          </w:p>
        </w:tc>
        <w:tc>
          <w:tcPr>
            <w:tcW w:w="137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800F5" w:rsidRPr="001925D8" w:rsidRDefault="00E800F5" w:rsidP="00C25BE1">
            <w:pPr>
              <w:pStyle w:val="TableStyle"/>
              <w:keepNext/>
              <w:jc w:val="center"/>
              <w:rPr>
                <w:sz w:val="20"/>
              </w:rPr>
            </w:pPr>
            <w:r w:rsidRPr="001925D8">
              <w:rPr>
                <w:sz w:val="20"/>
              </w:rPr>
              <w:t>CIoT device</w:t>
            </w:r>
            <w:r w:rsidRPr="001925D8">
              <w:rPr>
                <w:sz w:val="20"/>
              </w:rPr>
              <w:br/>
              <w:t xml:space="preserve">output </w:t>
            </w:r>
            <w:r w:rsidRPr="001925D8">
              <w:rPr>
                <w:sz w:val="20"/>
              </w:rPr>
              <w:br/>
              <w:t>power</w:t>
            </w:r>
          </w:p>
          <w:p w:rsidR="00E800F5" w:rsidRPr="001925D8" w:rsidRDefault="00E800F5" w:rsidP="00C25BE1">
            <w:pPr>
              <w:pStyle w:val="TableStyle"/>
              <w:keepNext/>
              <w:jc w:val="center"/>
              <w:rPr>
                <w:sz w:val="20"/>
              </w:rPr>
            </w:pPr>
            <w:r w:rsidRPr="001925D8">
              <w:rPr>
                <w:sz w:val="20"/>
              </w:rPr>
              <w:t>[dBm]</w:t>
            </w:r>
          </w:p>
        </w:tc>
        <w:tc>
          <w:tcPr>
            <w:tcW w:w="11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800F5" w:rsidRPr="001925D8" w:rsidRDefault="00E800F5" w:rsidP="00C25BE1">
            <w:pPr>
              <w:pStyle w:val="TableStyle"/>
              <w:keepNext/>
              <w:jc w:val="center"/>
              <w:rPr>
                <w:sz w:val="20"/>
              </w:rPr>
            </w:pPr>
            <w:r w:rsidRPr="001925D8">
              <w:rPr>
                <w:sz w:val="20"/>
              </w:rPr>
              <w:t>Average</w:t>
            </w:r>
          </w:p>
          <w:p w:rsidR="00E800F5" w:rsidRPr="001925D8" w:rsidRDefault="00E800F5" w:rsidP="00C25BE1">
            <w:pPr>
              <w:pStyle w:val="TableStyle"/>
              <w:keepNext/>
              <w:jc w:val="center"/>
              <w:rPr>
                <w:sz w:val="20"/>
              </w:rPr>
            </w:pPr>
            <w:r w:rsidRPr="001925D8">
              <w:rPr>
                <w:sz w:val="20"/>
              </w:rPr>
              <w:t>Resource</w:t>
            </w:r>
          </w:p>
          <w:p w:rsidR="00E800F5" w:rsidRPr="001925D8" w:rsidRDefault="00E800F5" w:rsidP="00C25BE1">
            <w:pPr>
              <w:pStyle w:val="TableStyle"/>
              <w:keepNext/>
              <w:jc w:val="center"/>
              <w:rPr>
                <w:sz w:val="20"/>
              </w:rPr>
            </w:pPr>
            <w:r w:rsidRPr="001925D8">
              <w:rPr>
                <w:sz w:val="20"/>
              </w:rPr>
              <w:t>Usage</w:t>
            </w:r>
          </w:p>
          <w:p w:rsidR="00E800F5" w:rsidRPr="001925D8" w:rsidRDefault="00E800F5" w:rsidP="00C25BE1">
            <w:pPr>
              <w:pStyle w:val="TableStyle"/>
              <w:keepNext/>
              <w:jc w:val="center"/>
              <w:rPr>
                <w:sz w:val="20"/>
              </w:rPr>
            </w:pPr>
            <w:r w:rsidRPr="001925D8">
              <w:rPr>
                <w:sz w:val="20"/>
              </w:rPr>
              <w:t>UL [#TS]</w:t>
            </w:r>
          </w:p>
        </w:tc>
        <w:tc>
          <w:tcPr>
            <w:tcW w:w="11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800F5" w:rsidRPr="001925D8" w:rsidRDefault="00E800F5" w:rsidP="00C25BE1">
            <w:pPr>
              <w:pStyle w:val="TableStyle"/>
              <w:keepNext/>
              <w:jc w:val="center"/>
              <w:rPr>
                <w:sz w:val="20"/>
              </w:rPr>
            </w:pPr>
            <w:r w:rsidRPr="001925D8">
              <w:rPr>
                <w:sz w:val="20"/>
              </w:rPr>
              <w:t>Failed attempts</w:t>
            </w:r>
            <w:r w:rsidRPr="001925D8">
              <w:rPr>
                <w:sz w:val="20"/>
              </w:rPr>
              <w:br/>
              <w:t>[%]</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800F5" w:rsidRPr="001925D8" w:rsidRDefault="00E800F5" w:rsidP="00C25BE1">
            <w:pPr>
              <w:pStyle w:val="TableStyle"/>
              <w:keepNext/>
              <w:jc w:val="center"/>
              <w:rPr>
                <w:sz w:val="20"/>
              </w:rPr>
            </w:pPr>
            <w:r w:rsidRPr="001925D8">
              <w:rPr>
                <w:sz w:val="20"/>
              </w:rPr>
              <w:t>Out of coverage</w:t>
            </w:r>
            <w:r w:rsidRPr="001925D8">
              <w:rPr>
                <w:sz w:val="20"/>
              </w:rPr>
              <w:br/>
              <w:t>[%]</w:t>
            </w:r>
          </w:p>
        </w:tc>
      </w:tr>
      <w:tr w:rsidR="00E800F5" w:rsidRPr="001925D8" w:rsidTr="00E800F5">
        <w:trPr>
          <w:jc w:val="center"/>
        </w:trPr>
        <w:tc>
          <w:tcPr>
            <w:tcW w:w="1372" w:type="dxa"/>
            <w:tcBorders>
              <w:top w:val="single" w:sz="4" w:space="0" w:color="auto"/>
              <w:left w:val="single" w:sz="4" w:space="0" w:color="auto"/>
              <w:bottom w:val="single" w:sz="4" w:space="0" w:color="auto"/>
              <w:right w:val="single" w:sz="4" w:space="0" w:color="auto"/>
            </w:tcBorders>
          </w:tcPr>
          <w:p w:rsidR="00E800F5" w:rsidRPr="00A5248C" w:rsidRDefault="00E800F5" w:rsidP="00C25BE1">
            <w:pPr>
              <w:pStyle w:val="TableStyle"/>
              <w:keepNext/>
              <w:jc w:val="center"/>
              <w:rPr>
                <w:sz w:val="20"/>
              </w:rPr>
            </w:pPr>
            <w:r w:rsidRPr="001925D8">
              <w:rPr>
                <w:sz w:val="20"/>
              </w:rPr>
              <w:t>OFF</w:t>
            </w:r>
          </w:p>
        </w:tc>
        <w:tc>
          <w:tcPr>
            <w:tcW w:w="1372" w:type="dxa"/>
            <w:tcBorders>
              <w:top w:val="single" w:sz="4" w:space="0" w:color="auto"/>
              <w:left w:val="single" w:sz="4" w:space="0" w:color="auto"/>
              <w:bottom w:val="single" w:sz="4" w:space="0" w:color="auto"/>
              <w:right w:val="single" w:sz="4" w:space="0" w:color="auto"/>
            </w:tcBorders>
            <w:hideMark/>
          </w:tcPr>
          <w:p w:rsidR="00E800F5" w:rsidRPr="00B62BC9" w:rsidRDefault="00E800F5" w:rsidP="00C25BE1">
            <w:pPr>
              <w:pStyle w:val="TableStyle"/>
              <w:keepNext/>
              <w:jc w:val="center"/>
              <w:rPr>
                <w:sz w:val="20"/>
              </w:rPr>
            </w:pPr>
            <w:r w:rsidRPr="00B62BC9">
              <w:rPr>
                <w:sz w:val="20"/>
              </w:rPr>
              <w:t>33</w:t>
            </w:r>
          </w:p>
        </w:tc>
        <w:tc>
          <w:tcPr>
            <w:tcW w:w="1157" w:type="dxa"/>
            <w:tcBorders>
              <w:top w:val="single" w:sz="4" w:space="0" w:color="auto"/>
              <w:left w:val="single" w:sz="4" w:space="0" w:color="auto"/>
              <w:bottom w:val="single" w:sz="4" w:space="0" w:color="auto"/>
              <w:right w:val="single" w:sz="4" w:space="0" w:color="auto"/>
            </w:tcBorders>
            <w:hideMark/>
          </w:tcPr>
          <w:p w:rsidR="00E800F5" w:rsidRPr="00B62BC9" w:rsidRDefault="00947F2C" w:rsidP="00947F2C">
            <w:pPr>
              <w:pStyle w:val="TableStyle"/>
              <w:keepNext/>
              <w:jc w:val="center"/>
              <w:rPr>
                <w:sz w:val="20"/>
              </w:rPr>
            </w:pPr>
            <w:r w:rsidRPr="00B62BC9">
              <w:rPr>
                <w:sz w:val="20"/>
              </w:rPr>
              <w:t>0.9</w:t>
            </w:r>
            <w:r w:rsidR="00E800F5" w:rsidRPr="00B62BC9">
              <w:rPr>
                <w:sz w:val="20"/>
              </w:rPr>
              <w:t xml:space="preserve"> </w:t>
            </w:r>
          </w:p>
        </w:tc>
        <w:tc>
          <w:tcPr>
            <w:tcW w:w="1116" w:type="dxa"/>
            <w:tcBorders>
              <w:top w:val="single" w:sz="4" w:space="0" w:color="auto"/>
              <w:left w:val="single" w:sz="4" w:space="0" w:color="auto"/>
              <w:bottom w:val="single" w:sz="4" w:space="0" w:color="auto"/>
              <w:right w:val="single" w:sz="4" w:space="0" w:color="auto"/>
            </w:tcBorders>
            <w:hideMark/>
          </w:tcPr>
          <w:p w:rsidR="00E800F5" w:rsidRPr="00ED0851" w:rsidRDefault="00E800F5" w:rsidP="00C25BE1">
            <w:pPr>
              <w:pStyle w:val="TableStyle"/>
              <w:keepNext/>
              <w:jc w:val="center"/>
              <w:rPr>
                <w:sz w:val="20"/>
              </w:rPr>
            </w:pPr>
            <w:r w:rsidRPr="00ED0851">
              <w:rPr>
                <w:sz w:val="20"/>
              </w:rPr>
              <w:t>0.1</w:t>
            </w:r>
          </w:p>
        </w:tc>
        <w:tc>
          <w:tcPr>
            <w:tcW w:w="1276" w:type="dxa"/>
            <w:tcBorders>
              <w:top w:val="single" w:sz="4" w:space="0" w:color="auto"/>
              <w:left w:val="single" w:sz="4" w:space="0" w:color="auto"/>
              <w:bottom w:val="single" w:sz="4" w:space="0" w:color="auto"/>
              <w:right w:val="single" w:sz="4" w:space="0" w:color="auto"/>
            </w:tcBorders>
            <w:hideMark/>
          </w:tcPr>
          <w:p w:rsidR="00E800F5" w:rsidRPr="001925D8" w:rsidRDefault="00E800F5" w:rsidP="00C25BE1">
            <w:pPr>
              <w:pStyle w:val="TableStyle"/>
              <w:keepNext/>
              <w:jc w:val="center"/>
              <w:rPr>
                <w:sz w:val="20"/>
              </w:rPr>
            </w:pPr>
            <w:r w:rsidRPr="001925D8">
              <w:rPr>
                <w:sz w:val="20"/>
              </w:rPr>
              <w:t>0.05</w:t>
            </w:r>
          </w:p>
        </w:tc>
      </w:tr>
      <w:tr w:rsidR="00E800F5" w:rsidRPr="001925D8" w:rsidTr="00E800F5">
        <w:trPr>
          <w:jc w:val="center"/>
        </w:trPr>
        <w:tc>
          <w:tcPr>
            <w:tcW w:w="1372" w:type="dxa"/>
            <w:tcBorders>
              <w:top w:val="single" w:sz="4" w:space="0" w:color="auto"/>
              <w:left w:val="single" w:sz="4" w:space="0" w:color="auto"/>
              <w:bottom w:val="double" w:sz="4" w:space="0" w:color="auto"/>
              <w:right w:val="single" w:sz="4" w:space="0" w:color="auto"/>
            </w:tcBorders>
          </w:tcPr>
          <w:p w:rsidR="00E800F5" w:rsidRPr="00A5248C" w:rsidRDefault="00E800F5" w:rsidP="003C0143">
            <w:pPr>
              <w:pStyle w:val="TableStyle"/>
              <w:keepNext/>
              <w:jc w:val="center"/>
              <w:rPr>
                <w:sz w:val="20"/>
              </w:rPr>
            </w:pPr>
            <w:r w:rsidRPr="001925D8">
              <w:rPr>
                <w:sz w:val="20"/>
              </w:rPr>
              <w:t>ON</w:t>
            </w:r>
          </w:p>
        </w:tc>
        <w:tc>
          <w:tcPr>
            <w:tcW w:w="1372" w:type="dxa"/>
            <w:tcBorders>
              <w:top w:val="single" w:sz="4" w:space="0" w:color="auto"/>
              <w:left w:val="single" w:sz="4" w:space="0" w:color="auto"/>
              <w:bottom w:val="double" w:sz="4" w:space="0" w:color="auto"/>
              <w:right w:val="single" w:sz="4" w:space="0" w:color="auto"/>
            </w:tcBorders>
          </w:tcPr>
          <w:p w:rsidR="00E800F5" w:rsidRPr="00B62BC9" w:rsidRDefault="00E800F5" w:rsidP="003C0143">
            <w:pPr>
              <w:pStyle w:val="TableStyle"/>
              <w:keepNext/>
              <w:jc w:val="center"/>
              <w:rPr>
                <w:sz w:val="20"/>
              </w:rPr>
            </w:pPr>
            <w:r w:rsidRPr="00B62BC9">
              <w:rPr>
                <w:sz w:val="20"/>
              </w:rPr>
              <w:t>33</w:t>
            </w:r>
          </w:p>
        </w:tc>
        <w:tc>
          <w:tcPr>
            <w:tcW w:w="1157" w:type="dxa"/>
            <w:tcBorders>
              <w:top w:val="single" w:sz="4" w:space="0" w:color="auto"/>
              <w:left w:val="single" w:sz="4" w:space="0" w:color="auto"/>
              <w:bottom w:val="double" w:sz="4" w:space="0" w:color="auto"/>
              <w:right w:val="single" w:sz="4" w:space="0" w:color="auto"/>
            </w:tcBorders>
          </w:tcPr>
          <w:p w:rsidR="00E800F5" w:rsidRPr="00B62BC9" w:rsidRDefault="00F70B3F" w:rsidP="003C0143">
            <w:pPr>
              <w:pStyle w:val="TableStyle"/>
              <w:keepNext/>
              <w:jc w:val="center"/>
              <w:rPr>
                <w:sz w:val="20"/>
              </w:rPr>
            </w:pPr>
            <w:r w:rsidRPr="00B62BC9">
              <w:rPr>
                <w:sz w:val="20"/>
              </w:rPr>
              <w:t>0.9</w:t>
            </w:r>
          </w:p>
        </w:tc>
        <w:tc>
          <w:tcPr>
            <w:tcW w:w="1116" w:type="dxa"/>
            <w:tcBorders>
              <w:top w:val="single" w:sz="4" w:space="0" w:color="auto"/>
              <w:left w:val="single" w:sz="4" w:space="0" w:color="auto"/>
              <w:bottom w:val="double" w:sz="4" w:space="0" w:color="auto"/>
              <w:right w:val="single" w:sz="4" w:space="0" w:color="auto"/>
            </w:tcBorders>
          </w:tcPr>
          <w:p w:rsidR="00E800F5" w:rsidRPr="00ED0851" w:rsidRDefault="00E800F5" w:rsidP="003C0143">
            <w:pPr>
              <w:pStyle w:val="TableStyle"/>
              <w:keepNext/>
              <w:jc w:val="center"/>
              <w:rPr>
                <w:sz w:val="20"/>
              </w:rPr>
            </w:pPr>
            <w:r w:rsidRPr="00ED0851">
              <w:rPr>
                <w:sz w:val="20"/>
              </w:rPr>
              <w:t>0.1</w:t>
            </w:r>
          </w:p>
        </w:tc>
        <w:tc>
          <w:tcPr>
            <w:tcW w:w="1276" w:type="dxa"/>
            <w:tcBorders>
              <w:top w:val="single" w:sz="4" w:space="0" w:color="auto"/>
              <w:left w:val="single" w:sz="4" w:space="0" w:color="auto"/>
              <w:bottom w:val="double" w:sz="4" w:space="0" w:color="auto"/>
              <w:right w:val="single" w:sz="4" w:space="0" w:color="auto"/>
            </w:tcBorders>
          </w:tcPr>
          <w:p w:rsidR="00E800F5" w:rsidRPr="001925D8" w:rsidRDefault="00E800F5" w:rsidP="003C0143">
            <w:pPr>
              <w:pStyle w:val="TableStyle"/>
              <w:keepNext/>
              <w:jc w:val="center"/>
              <w:rPr>
                <w:sz w:val="20"/>
              </w:rPr>
            </w:pPr>
            <w:r w:rsidRPr="001925D8">
              <w:rPr>
                <w:sz w:val="20"/>
              </w:rPr>
              <w:t>0.05</w:t>
            </w:r>
          </w:p>
        </w:tc>
      </w:tr>
      <w:tr w:rsidR="00E800F5" w:rsidRPr="001925D8" w:rsidTr="00E800F5">
        <w:trPr>
          <w:jc w:val="center"/>
        </w:trPr>
        <w:tc>
          <w:tcPr>
            <w:tcW w:w="1372" w:type="dxa"/>
            <w:tcBorders>
              <w:top w:val="double" w:sz="4" w:space="0" w:color="auto"/>
              <w:left w:val="single" w:sz="4" w:space="0" w:color="auto"/>
              <w:bottom w:val="single" w:sz="4" w:space="0" w:color="auto"/>
              <w:right w:val="single" w:sz="4" w:space="0" w:color="auto"/>
            </w:tcBorders>
          </w:tcPr>
          <w:p w:rsidR="00E800F5" w:rsidRPr="00A5248C" w:rsidRDefault="00E800F5">
            <w:pPr>
              <w:pStyle w:val="TableStyle"/>
              <w:keepNext/>
              <w:jc w:val="center"/>
              <w:rPr>
                <w:sz w:val="20"/>
              </w:rPr>
            </w:pPr>
            <w:r w:rsidRPr="001925D8">
              <w:rPr>
                <w:sz w:val="20"/>
              </w:rPr>
              <w:t>OFF</w:t>
            </w:r>
          </w:p>
        </w:tc>
        <w:tc>
          <w:tcPr>
            <w:tcW w:w="1372" w:type="dxa"/>
            <w:tcBorders>
              <w:top w:val="double" w:sz="4" w:space="0" w:color="auto"/>
              <w:left w:val="single" w:sz="4" w:space="0" w:color="auto"/>
              <w:bottom w:val="single" w:sz="4" w:space="0" w:color="auto"/>
              <w:right w:val="single" w:sz="4" w:space="0" w:color="auto"/>
            </w:tcBorders>
            <w:hideMark/>
          </w:tcPr>
          <w:p w:rsidR="00E800F5" w:rsidRPr="00B62BC9" w:rsidRDefault="00E800F5">
            <w:pPr>
              <w:pStyle w:val="TableStyle"/>
              <w:keepNext/>
              <w:jc w:val="center"/>
              <w:rPr>
                <w:sz w:val="20"/>
              </w:rPr>
            </w:pPr>
            <w:r w:rsidRPr="00B62BC9">
              <w:rPr>
                <w:sz w:val="20"/>
              </w:rPr>
              <w:t>23</w:t>
            </w:r>
          </w:p>
        </w:tc>
        <w:tc>
          <w:tcPr>
            <w:tcW w:w="1157" w:type="dxa"/>
            <w:tcBorders>
              <w:top w:val="double" w:sz="4" w:space="0" w:color="auto"/>
              <w:left w:val="single" w:sz="4" w:space="0" w:color="auto"/>
              <w:bottom w:val="single" w:sz="4" w:space="0" w:color="auto"/>
              <w:right w:val="single" w:sz="4" w:space="0" w:color="auto"/>
            </w:tcBorders>
            <w:hideMark/>
          </w:tcPr>
          <w:p w:rsidR="00E800F5" w:rsidRPr="00B62BC9" w:rsidRDefault="00947F2C" w:rsidP="00947F2C">
            <w:pPr>
              <w:pStyle w:val="TableStyle"/>
              <w:keepNext/>
              <w:jc w:val="center"/>
              <w:rPr>
                <w:sz w:val="20"/>
              </w:rPr>
            </w:pPr>
            <w:r w:rsidRPr="00B62BC9">
              <w:rPr>
                <w:sz w:val="20"/>
              </w:rPr>
              <w:t>2.0</w:t>
            </w:r>
            <w:r w:rsidR="00E800F5" w:rsidRPr="00B62BC9">
              <w:rPr>
                <w:sz w:val="20"/>
              </w:rPr>
              <w:t xml:space="preserve"> </w:t>
            </w:r>
          </w:p>
        </w:tc>
        <w:tc>
          <w:tcPr>
            <w:tcW w:w="1116" w:type="dxa"/>
            <w:tcBorders>
              <w:top w:val="double" w:sz="4" w:space="0" w:color="auto"/>
              <w:left w:val="single" w:sz="4" w:space="0" w:color="auto"/>
              <w:bottom w:val="single" w:sz="4" w:space="0" w:color="auto"/>
              <w:right w:val="single" w:sz="4" w:space="0" w:color="auto"/>
            </w:tcBorders>
            <w:hideMark/>
          </w:tcPr>
          <w:p w:rsidR="00E800F5" w:rsidRPr="00ED0851" w:rsidRDefault="00E800F5">
            <w:pPr>
              <w:pStyle w:val="TableStyle"/>
              <w:keepNext/>
              <w:jc w:val="center"/>
              <w:rPr>
                <w:sz w:val="20"/>
              </w:rPr>
            </w:pPr>
            <w:r w:rsidRPr="00ED0851">
              <w:rPr>
                <w:sz w:val="20"/>
              </w:rPr>
              <w:t>0.4</w:t>
            </w:r>
          </w:p>
        </w:tc>
        <w:tc>
          <w:tcPr>
            <w:tcW w:w="1276" w:type="dxa"/>
            <w:tcBorders>
              <w:top w:val="double" w:sz="4" w:space="0" w:color="auto"/>
              <w:left w:val="single" w:sz="4" w:space="0" w:color="auto"/>
              <w:bottom w:val="single" w:sz="4" w:space="0" w:color="auto"/>
              <w:right w:val="single" w:sz="4" w:space="0" w:color="auto"/>
            </w:tcBorders>
            <w:hideMark/>
          </w:tcPr>
          <w:p w:rsidR="00E800F5" w:rsidRPr="001925D8" w:rsidRDefault="00E800F5">
            <w:pPr>
              <w:pStyle w:val="TableStyle"/>
              <w:keepNext/>
              <w:jc w:val="center"/>
              <w:rPr>
                <w:sz w:val="20"/>
              </w:rPr>
            </w:pPr>
            <w:r w:rsidRPr="001925D8">
              <w:rPr>
                <w:sz w:val="20"/>
              </w:rPr>
              <w:t>0.8</w:t>
            </w:r>
          </w:p>
        </w:tc>
      </w:tr>
      <w:tr w:rsidR="00E800F5" w:rsidRPr="001925D8" w:rsidTr="00E800F5">
        <w:trPr>
          <w:jc w:val="center"/>
        </w:trPr>
        <w:tc>
          <w:tcPr>
            <w:tcW w:w="1372" w:type="dxa"/>
            <w:tcBorders>
              <w:top w:val="single" w:sz="4" w:space="0" w:color="auto"/>
              <w:left w:val="single" w:sz="4" w:space="0" w:color="auto"/>
              <w:bottom w:val="single" w:sz="4" w:space="0" w:color="auto"/>
              <w:right w:val="single" w:sz="4" w:space="0" w:color="auto"/>
            </w:tcBorders>
          </w:tcPr>
          <w:p w:rsidR="00E800F5" w:rsidRPr="00A5248C" w:rsidRDefault="00E800F5" w:rsidP="003C0143">
            <w:pPr>
              <w:pStyle w:val="TableStyle"/>
              <w:keepNext/>
              <w:jc w:val="center"/>
              <w:rPr>
                <w:sz w:val="20"/>
              </w:rPr>
            </w:pPr>
            <w:r w:rsidRPr="001925D8">
              <w:rPr>
                <w:sz w:val="20"/>
              </w:rPr>
              <w:t>ON</w:t>
            </w:r>
          </w:p>
        </w:tc>
        <w:tc>
          <w:tcPr>
            <w:tcW w:w="1372" w:type="dxa"/>
            <w:tcBorders>
              <w:top w:val="single" w:sz="4" w:space="0" w:color="auto"/>
              <w:left w:val="single" w:sz="4" w:space="0" w:color="auto"/>
              <w:bottom w:val="single" w:sz="4" w:space="0" w:color="auto"/>
              <w:right w:val="single" w:sz="4" w:space="0" w:color="auto"/>
            </w:tcBorders>
          </w:tcPr>
          <w:p w:rsidR="00E800F5" w:rsidRPr="00B62BC9" w:rsidRDefault="00E800F5" w:rsidP="003C0143">
            <w:pPr>
              <w:pStyle w:val="TableStyle"/>
              <w:keepNext/>
              <w:jc w:val="center"/>
              <w:rPr>
                <w:sz w:val="20"/>
              </w:rPr>
            </w:pPr>
            <w:r w:rsidRPr="00B62BC9">
              <w:rPr>
                <w:sz w:val="20"/>
              </w:rPr>
              <w:t>23</w:t>
            </w:r>
          </w:p>
        </w:tc>
        <w:tc>
          <w:tcPr>
            <w:tcW w:w="1157" w:type="dxa"/>
            <w:tcBorders>
              <w:top w:val="single" w:sz="4" w:space="0" w:color="auto"/>
              <w:left w:val="single" w:sz="4" w:space="0" w:color="auto"/>
              <w:bottom w:val="single" w:sz="4" w:space="0" w:color="auto"/>
              <w:right w:val="single" w:sz="4" w:space="0" w:color="auto"/>
            </w:tcBorders>
          </w:tcPr>
          <w:p w:rsidR="00E800F5" w:rsidRPr="00B62BC9" w:rsidRDefault="00F70B3F" w:rsidP="003C0143">
            <w:pPr>
              <w:pStyle w:val="TableStyle"/>
              <w:keepNext/>
              <w:jc w:val="center"/>
              <w:rPr>
                <w:sz w:val="20"/>
              </w:rPr>
            </w:pPr>
            <w:r w:rsidRPr="00B62BC9">
              <w:rPr>
                <w:sz w:val="20"/>
              </w:rPr>
              <w:t>2.0</w:t>
            </w:r>
          </w:p>
        </w:tc>
        <w:tc>
          <w:tcPr>
            <w:tcW w:w="1116" w:type="dxa"/>
            <w:tcBorders>
              <w:top w:val="single" w:sz="4" w:space="0" w:color="auto"/>
              <w:left w:val="single" w:sz="4" w:space="0" w:color="auto"/>
              <w:bottom w:val="single" w:sz="4" w:space="0" w:color="auto"/>
              <w:right w:val="single" w:sz="4" w:space="0" w:color="auto"/>
            </w:tcBorders>
          </w:tcPr>
          <w:p w:rsidR="00E800F5" w:rsidRPr="00B62BC9" w:rsidRDefault="00E800F5" w:rsidP="003C0143">
            <w:pPr>
              <w:pStyle w:val="TableStyle"/>
              <w:keepNext/>
              <w:jc w:val="center"/>
              <w:rPr>
                <w:sz w:val="20"/>
              </w:rPr>
            </w:pPr>
            <w:r w:rsidRPr="00B62BC9">
              <w:rPr>
                <w:sz w:val="20"/>
              </w:rPr>
              <w:t>0.4</w:t>
            </w:r>
          </w:p>
        </w:tc>
        <w:tc>
          <w:tcPr>
            <w:tcW w:w="1276" w:type="dxa"/>
            <w:tcBorders>
              <w:top w:val="single" w:sz="4" w:space="0" w:color="auto"/>
              <w:left w:val="single" w:sz="4" w:space="0" w:color="auto"/>
              <w:bottom w:val="single" w:sz="4" w:space="0" w:color="auto"/>
              <w:right w:val="single" w:sz="4" w:space="0" w:color="auto"/>
            </w:tcBorders>
          </w:tcPr>
          <w:p w:rsidR="00E800F5" w:rsidRPr="00ED0851" w:rsidRDefault="00E800F5" w:rsidP="003C0143">
            <w:pPr>
              <w:pStyle w:val="TableStyle"/>
              <w:keepNext/>
              <w:jc w:val="center"/>
              <w:rPr>
                <w:sz w:val="20"/>
              </w:rPr>
            </w:pPr>
            <w:r w:rsidRPr="00ED0851">
              <w:rPr>
                <w:sz w:val="20"/>
              </w:rPr>
              <w:t>0.8</w:t>
            </w:r>
          </w:p>
        </w:tc>
      </w:tr>
    </w:tbl>
    <w:p w:rsidR="00C25BE1" w:rsidRPr="001925D8" w:rsidRDefault="00C25BE1" w:rsidP="00C25BE1"/>
    <w:p w:rsidR="00C25BE1" w:rsidRDefault="00A90A96" w:rsidP="00937F68">
      <w:pPr>
        <w:pStyle w:val="BodyText"/>
      </w:pPr>
      <w:r w:rsidRPr="00B62BC9">
        <w:t>As can be seen, the impact on performance is not visible in this scenario. This conclusion could however change when investigating a more tight frequency re-use where more users typically would be in extended coverage, and interference more likely to be repeated. It is hence proposed to, as default, apply the above interference model for simulations in a tight frequency re-use.</w:t>
      </w:r>
    </w:p>
    <w:p w:rsidR="00047404" w:rsidRDefault="00047404" w:rsidP="00937F68">
      <w:pPr>
        <w:pStyle w:val="BodyText"/>
      </w:pPr>
      <w:r>
        <w:fldChar w:fldCharType="begin"/>
      </w:r>
      <w:r>
        <w:instrText xml:space="preserve"> REF _Ref442797080 \h </w:instrText>
      </w:r>
      <w:r>
        <w:fldChar w:fldCharType="separate"/>
      </w:r>
      <w:r w:rsidR="0000780F" w:rsidRPr="00707DB9">
        <w:t xml:space="preserve">Table </w:t>
      </w:r>
      <w:r w:rsidR="0000780F">
        <w:rPr>
          <w:noProof/>
        </w:rPr>
        <w:t>2</w:t>
      </w:r>
      <w:r>
        <w:fldChar w:fldCharType="end"/>
      </w:r>
      <w:r>
        <w:t xml:space="preserve"> </w:t>
      </w:r>
      <w:r w:rsidRPr="00047404">
        <w:t xml:space="preserve">summarizes the </w:t>
      </w:r>
      <w:r w:rsidR="004A1324">
        <w:t>UL CC distribution for</w:t>
      </w:r>
      <w:r w:rsidRPr="00047404">
        <w:t xml:space="preserve"> </w:t>
      </w:r>
      <w:r w:rsidR="004A1324">
        <w:t xml:space="preserve">EC-PDCH. </w:t>
      </w:r>
      <w:r w:rsidRPr="00047404">
        <w:t>For the 33 dBm devices 96.9 % of all users are in normal coverage. The corresponding number for 23 dBm devices is 87.4 %.</w:t>
      </w:r>
    </w:p>
    <w:p w:rsidR="00ED0851" w:rsidRPr="0074389B" w:rsidRDefault="00ED0851" w:rsidP="00271D77">
      <w:pPr>
        <w:pStyle w:val="Caption"/>
        <w:keepNext/>
      </w:pPr>
      <w:bookmarkStart w:id="3" w:name="_Ref442797080"/>
      <w:r w:rsidRPr="00707DB9">
        <w:lastRenderedPageBreak/>
        <w:t xml:space="preserve">Table </w:t>
      </w:r>
      <w:r>
        <w:fldChar w:fldCharType="begin"/>
      </w:r>
      <w:r w:rsidRPr="00ED0851">
        <w:instrText xml:space="preserve"> SEQ Table \* ARABIC </w:instrText>
      </w:r>
      <w:r>
        <w:fldChar w:fldCharType="separate"/>
      </w:r>
      <w:r w:rsidR="0000780F">
        <w:rPr>
          <w:noProof/>
        </w:rPr>
        <w:t>2</w:t>
      </w:r>
      <w:r>
        <w:fldChar w:fldCharType="end"/>
      </w:r>
      <w:bookmarkEnd w:id="3"/>
      <w:r w:rsidR="004A1324" w:rsidRPr="00707DB9">
        <w:t>:</w:t>
      </w:r>
      <w:r w:rsidRPr="00707DB9">
        <w:tab/>
      </w:r>
      <w:r>
        <w:t xml:space="preserve">EC-PDCH </w:t>
      </w:r>
      <w:r w:rsidRPr="0074389B">
        <w:t>CC distribution for 33 and 23 dBm device output power</w:t>
      </w:r>
      <w:r w:rsidR="004A1324">
        <w:t>.</w:t>
      </w:r>
    </w:p>
    <w:tbl>
      <w:tblPr>
        <w:tblStyle w:val="TableGrid"/>
        <w:tblW w:w="0" w:type="auto"/>
        <w:jc w:val="center"/>
        <w:tblLook w:val="04A0" w:firstRow="1" w:lastRow="0" w:firstColumn="1" w:lastColumn="0" w:noHBand="0" w:noVBand="1"/>
      </w:tblPr>
      <w:tblGrid>
        <w:gridCol w:w="1073"/>
        <w:gridCol w:w="1505"/>
        <w:gridCol w:w="1489"/>
      </w:tblGrid>
      <w:tr w:rsidR="00ED0851" w:rsidRPr="0074389B" w:rsidTr="004D4838">
        <w:trPr>
          <w:jc w:val="center"/>
        </w:trPr>
        <w:tc>
          <w:tcPr>
            <w:tcW w:w="1073" w:type="dxa"/>
            <w:vMerge w:val="restart"/>
            <w:shd w:val="clear" w:color="auto" w:fill="B8CCE4" w:themeFill="accent1" w:themeFillTint="66"/>
          </w:tcPr>
          <w:p w:rsidR="00ED0851" w:rsidRPr="0074389B" w:rsidRDefault="00ED0851" w:rsidP="00724504">
            <w:pPr>
              <w:pStyle w:val="BodyText"/>
              <w:keepNext/>
              <w:spacing w:after="0"/>
              <w:jc w:val="center"/>
              <w:rPr>
                <w:lang w:eastAsia="zh-CN"/>
              </w:rPr>
            </w:pPr>
            <w:r w:rsidRPr="0074389B">
              <w:rPr>
                <w:lang w:eastAsia="zh-CN"/>
              </w:rPr>
              <w:t xml:space="preserve">UL </w:t>
            </w:r>
          </w:p>
          <w:p w:rsidR="00ED0851" w:rsidRPr="0074389B" w:rsidRDefault="00ED0851" w:rsidP="00724504">
            <w:pPr>
              <w:pStyle w:val="BodyText"/>
              <w:keepNext/>
              <w:spacing w:after="0"/>
              <w:rPr>
                <w:lang w:eastAsia="zh-CN"/>
              </w:rPr>
            </w:pPr>
            <w:r w:rsidRPr="0074389B">
              <w:rPr>
                <w:lang w:eastAsia="zh-CN"/>
              </w:rPr>
              <w:t>Coverage</w:t>
            </w:r>
          </w:p>
          <w:p w:rsidR="00ED0851" w:rsidRPr="0074389B" w:rsidRDefault="00ED0851" w:rsidP="00724504">
            <w:pPr>
              <w:pStyle w:val="BodyText"/>
              <w:keepNext/>
              <w:spacing w:after="0"/>
              <w:jc w:val="center"/>
              <w:rPr>
                <w:lang w:eastAsia="zh-CN"/>
              </w:rPr>
            </w:pPr>
            <w:r w:rsidRPr="0074389B">
              <w:rPr>
                <w:lang w:eastAsia="zh-CN"/>
              </w:rPr>
              <w:t>Class</w:t>
            </w:r>
          </w:p>
        </w:tc>
        <w:tc>
          <w:tcPr>
            <w:tcW w:w="2994" w:type="dxa"/>
            <w:gridSpan w:val="2"/>
            <w:tcBorders>
              <w:bottom w:val="single" w:sz="4" w:space="0" w:color="auto"/>
            </w:tcBorders>
            <w:shd w:val="clear" w:color="auto" w:fill="B8CCE4" w:themeFill="accent1" w:themeFillTint="66"/>
          </w:tcPr>
          <w:p w:rsidR="00ED0851" w:rsidRPr="0074389B" w:rsidRDefault="00ED0851" w:rsidP="00724504">
            <w:pPr>
              <w:pStyle w:val="BodyText"/>
              <w:keepNext/>
              <w:spacing w:after="100" w:afterAutospacing="1"/>
              <w:jc w:val="center"/>
              <w:rPr>
                <w:lang w:eastAsia="zh-CN"/>
              </w:rPr>
            </w:pPr>
            <w:r w:rsidRPr="0074389B">
              <w:rPr>
                <w:lang w:eastAsia="zh-CN"/>
              </w:rPr>
              <w:t>Distribution of users [%]</w:t>
            </w:r>
          </w:p>
        </w:tc>
      </w:tr>
      <w:tr w:rsidR="00ED0851" w:rsidRPr="00ED0851" w:rsidTr="004D4838">
        <w:trPr>
          <w:jc w:val="center"/>
        </w:trPr>
        <w:tc>
          <w:tcPr>
            <w:tcW w:w="1073" w:type="dxa"/>
            <w:vMerge/>
          </w:tcPr>
          <w:p w:rsidR="00ED0851" w:rsidRPr="0074389B" w:rsidRDefault="00ED0851" w:rsidP="00724504">
            <w:pPr>
              <w:pStyle w:val="BodyText"/>
              <w:keepNext/>
              <w:spacing w:after="100" w:afterAutospacing="1"/>
              <w:jc w:val="center"/>
              <w:rPr>
                <w:lang w:eastAsia="zh-CN"/>
              </w:rPr>
            </w:pPr>
          </w:p>
        </w:tc>
        <w:tc>
          <w:tcPr>
            <w:tcW w:w="2994" w:type="dxa"/>
            <w:gridSpan w:val="2"/>
            <w:shd w:val="clear" w:color="auto" w:fill="DBE5F1" w:themeFill="accent1" w:themeFillTint="33"/>
          </w:tcPr>
          <w:p w:rsidR="00ED0851" w:rsidRPr="00271D77" w:rsidRDefault="00ED0851" w:rsidP="00724504">
            <w:pPr>
              <w:pStyle w:val="BodyText"/>
              <w:keepNext/>
              <w:spacing w:after="100" w:afterAutospacing="1"/>
              <w:jc w:val="center"/>
              <w:rPr>
                <w:lang w:eastAsia="zh-CN"/>
              </w:rPr>
            </w:pPr>
            <w:r w:rsidRPr="00707DB9">
              <w:rPr>
                <w:lang w:eastAsia="zh-CN"/>
              </w:rPr>
              <w:t>CIoT device output power [dBm]</w:t>
            </w:r>
          </w:p>
        </w:tc>
      </w:tr>
      <w:tr w:rsidR="00ED0851" w:rsidRPr="0074389B" w:rsidTr="004D4838">
        <w:trPr>
          <w:jc w:val="center"/>
        </w:trPr>
        <w:tc>
          <w:tcPr>
            <w:tcW w:w="1073" w:type="dxa"/>
            <w:vMerge/>
          </w:tcPr>
          <w:p w:rsidR="00ED0851" w:rsidRPr="00ED0851" w:rsidRDefault="00ED0851" w:rsidP="00724504">
            <w:pPr>
              <w:pStyle w:val="BodyText"/>
              <w:keepNext/>
              <w:spacing w:after="100" w:afterAutospacing="1"/>
              <w:jc w:val="center"/>
              <w:rPr>
                <w:lang w:eastAsia="zh-CN"/>
              </w:rPr>
            </w:pPr>
          </w:p>
        </w:tc>
        <w:tc>
          <w:tcPr>
            <w:tcW w:w="1505" w:type="dxa"/>
            <w:shd w:val="clear" w:color="auto" w:fill="DBE5F1" w:themeFill="accent1" w:themeFillTint="33"/>
          </w:tcPr>
          <w:p w:rsidR="00ED0851" w:rsidRPr="0074389B" w:rsidRDefault="00ED0851" w:rsidP="00724504">
            <w:pPr>
              <w:pStyle w:val="BodyText"/>
              <w:keepNext/>
              <w:spacing w:after="100" w:afterAutospacing="1"/>
              <w:jc w:val="center"/>
              <w:rPr>
                <w:lang w:eastAsia="zh-CN"/>
              </w:rPr>
            </w:pPr>
            <w:r w:rsidRPr="0074389B">
              <w:rPr>
                <w:lang w:eastAsia="zh-CN"/>
              </w:rPr>
              <w:t>33</w:t>
            </w:r>
          </w:p>
        </w:tc>
        <w:tc>
          <w:tcPr>
            <w:tcW w:w="1489" w:type="dxa"/>
            <w:shd w:val="clear" w:color="auto" w:fill="DBE5F1" w:themeFill="accent1" w:themeFillTint="33"/>
          </w:tcPr>
          <w:p w:rsidR="00ED0851" w:rsidRPr="0074389B" w:rsidRDefault="00ED0851" w:rsidP="00724504">
            <w:pPr>
              <w:pStyle w:val="BodyText"/>
              <w:keepNext/>
              <w:spacing w:after="100" w:afterAutospacing="1"/>
              <w:jc w:val="center"/>
              <w:rPr>
                <w:lang w:eastAsia="zh-CN"/>
              </w:rPr>
            </w:pPr>
            <w:r w:rsidRPr="0074389B">
              <w:rPr>
                <w:lang w:eastAsia="zh-CN"/>
              </w:rPr>
              <w:t>23</w:t>
            </w:r>
          </w:p>
        </w:tc>
      </w:tr>
      <w:tr w:rsidR="00ED0851" w:rsidRPr="0074389B" w:rsidTr="004D4838">
        <w:trPr>
          <w:jc w:val="center"/>
        </w:trPr>
        <w:tc>
          <w:tcPr>
            <w:tcW w:w="1073" w:type="dxa"/>
          </w:tcPr>
          <w:p w:rsidR="00ED0851" w:rsidRPr="0074389B" w:rsidRDefault="00ED0851" w:rsidP="00724504">
            <w:pPr>
              <w:pStyle w:val="BodyText"/>
              <w:keepNext/>
              <w:spacing w:after="100" w:afterAutospacing="1"/>
              <w:jc w:val="center"/>
              <w:rPr>
                <w:lang w:eastAsia="zh-CN"/>
              </w:rPr>
            </w:pPr>
            <w:r w:rsidRPr="0074389B">
              <w:rPr>
                <w:lang w:eastAsia="zh-CN"/>
              </w:rPr>
              <w:t>1</w:t>
            </w:r>
          </w:p>
        </w:tc>
        <w:tc>
          <w:tcPr>
            <w:tcW w:w="1505" w:type="dxa"/>
          </w:tcPr>
          <w:p w:rsidR="00ED0851" w:rsidRPr="0074389B" w:rsidRDefault="00ED0851" w:rsidP="00724504">
            <w:pPr>
              <w:pStyle w:val="BodyText"/>
              <w:keepNext/>
              <w:spacing w:after="100" w:afterAutospacing="1"/>
              <w:jc w:val="center"/>
              <w:rPr>
                <w:lang w:eastAsia="zh-CN"/>
              </w:rPr>
            </w:pPr>
            <w:r w:rsidRPr="0074389B">
              <w:rPr>
                <w:lang w:eastAsia="zh-CN"/>
              </w:rPr>
              <w:t>96.9</w:t>
            </w:r>
          </w:p>
        </w:tc>
        <w:tc>
          <w:tcPr>
            <w:tcW w:w="1489" w:type="dxa"/>
          </w:tcPr>
          <w:p w:rsidR="00ED0851" w:rsidRPr="0074389B" w:rsidRDefault="00ED0851" w:rsidP="00724504">
            <w:pPr>
              <w:pStyle w:val="BodyText"/>
              <w:keepNext/>
              <w:spacing w:after="100" w:afterAutospacing="1"/>
              <w:jc w:val="center"/>
              <w:rPr>
                <w:lang w:eastAsia="zh-CN"/>
              </w:rPr>
            </w:pPr>
            <w:r w:rsidRPr="0074389B">
              <w:rPr>
                <w:lang w:eastAsia="zh-CN"/>
              </w:rPr>
              <w:t>87.4</w:t>
            </w:r>
          </w:p>
        </w:tc>
      </w:tr>
      <w:tr w:rsidR="00ED0851" w:rsidRPr="0074389B" w:rsidTr="004D4838">
        <w:trPr>
          <w:jc w:val="center"/>
        </w:trPr>
        <w:tc>
          <w:tcPr>
            <w:tcW w:w="1073" w:type="dxa"/>
          </w:tcPr>
          <w:p w:rsidR="00ED0851" w:rsidRPr="0074389B" w:rsidRDefault="00ED0851" w:rsidP="00724504">
            <w:pPr>
              <w:pStyle w:val="BodyText"/>
              <w:keepNext/>
              <w:spacing w:after="100" w:afterAutospacing="1"/>
              <w:jc w:val="center"/>
              <w:rPr>
                <w:lang w:eastAsia="zh-CN"/>
              </w:rPr>
            </w:pPr>
            <w:r w:rsidRPr="0074389B">
              <w:rPr>
                <w:lang w:eastAsia="zh-CN"/>
              </w:rPr>
              <w:t>2</w:t>
            </w:r>
          </w:p>
        </w:tc>
        <w:tc>
          <w:tcPr>
            <w:tcW w:w="1505" w:type="dxa"/>
          </w:tcPr>
          <w:p w:rsidR="00ED0851" w:rsidRPr="0074389B" w:rsidRDefault="00ED0851" w:rsidP="00724504">
            <w:pPr>
              <w:pStyle w:val="BodyText"/>
              <w:keepNext/>
              <w:spacing w:after="100" w:afterAutospacing="1"/>
              <w:jc w:val="center"/>
              <w:rPr>
                <w:lang w:eastAsia="zh-CN"/>
              </w:rPr>
            </w:pPr>
            <w:r w:rsidRPr="0074389B">
              <w:rPr>
                <w:lang w:eastAsia="zh-CN"/>
              </w:rPr>
              <w:t>2.2</w:t>
            </w:r>
          </w:p>
        </w:tc>
        <w:tc>
          <w:tcPr>
            <w:tcW w:w="1489" w:type="dxa"/>
          </w:tcPr>
          <w:p w:rsidR="00ED0851" w:rsidRPr="0074389B" w:rsidRDefault="00ED0851" w:rsidP="00724504">
            <w:pPr>
              <w:pStyle w:val="BodyText"/>
              <w:keepNext/>
              <w:spacing w:after="100" w:afterAutospacing="1"/>
              <w:jc w:val="center"/>
              <w:rPr>
                <w:lang w:eastAsia="zh-CN"/>
              </w:rPr>
            </w:pPr>
            <w:r w:rsidRPr="0074389B">
              <w:rPr>
                <w:lang w:eastAsia="zh-CN"/>
              </w:rPr>
              <w:t>7.9</w:t>
            </w:r>
          </w:p>
        </w:tc>
      </w:tr>
      <w:tr w:rsidR="00ED0851" w:rsidRPr="0074389B" w:rsidTr="004D4838">
        <w:trPr>
          <w:jc w:val="center"/>
        </w:trPr>
        <w:tc>
          <w:tcPr>
            <w:tcW w:w="1073" w:type="dxa"/>
          </w:tcPr>
          <w:p w:rsidR="00ED0851" w:rsidRPr="0074389B" w:rsidRDefault="00ED0851" w:rsidP="00724504">
            <w:pPr>
              <w:pStyle w:val="BodyText"/>
              <w:keepNext/>
              <w:spacing w:after="100" w:afterAutospacing="1"/>
              <w:jc w:val="center"/>
              <w:rPr>
                <w:lang w:eastAsia="zh-CN"/>
              </w:rPr>
            </w:pPr>
            <w:r w:rsidRPr="0074389B">
              <w:rPr>
                <w:lang w:eastAsia="zh-CN"/>
              </w:rPr>
              <w:t>3</w:t>
            </w:r>
          </w:p>
        </w:tc>
        <w:tc>
          <w:tcPr>
            <w:tcW w:w="1505" w:type="dxa"/>
          </w:tcPr>
          <w:p w:rsidR="00ED0851" w:rsidRPr="0074389B" w:rsidRDefault="00ED0851" w:rsidP="00724504">
            <w:pPr>
              <w:pStyle w:val="BodyText"/>
              <w:keepNext/>
              <w:spacing w:after="100" w:afterAutospacing="1"/>
              <w:jc w:val="center"/>
              <w:rPr>
                <w:lang w:eastAsia="zh-CN"/>
              </w:rPr>
            </w:pPr>
            <w:r w:rsidRPr="0074389B">
              <w:rPr>
                <w:lang w:eastAsia="zh-CN"/>
              </w:rPr>
              <w:t>0.5</w:t>
            </w:r>
          </w:p>
        </w:tc>
        <w:tc>
          <w:tcPr>
            <w:tcW w:w="1489" w:type="dxa"/>
          </w:tcPr>
          <w:p w:rsidR="00ED0851" w:rsidRPr="0074389B" w:rsidRDefault="00ED0851" w:rsidP="00724504">
            <w:pPr>
              <w:pStyle w:val="BodyText"/>
              <w:keepNext/>
              <w:spacing w:after="100" w:afterAutospacing="1"/>
              <w:jc w:val="center"/>
              <w:rPr>
                <w:lang w:eastAsia="zh-CN"/>
              </w:rPr>
            </w:pPr>
            <w:r w:rsidRPr="0074389B">
              <w:rPr>
                <w:lang w:eastAsia="zh-CN"/>
              </w:rPr>
              <w:t>2.2</w:t>
            </w:r>
          </w:p>
        </w:tc>
      </w:tr>
      <w:tr w:rsidR="00ED0851" w:rsidRPr="0074389B" w:rsidTr="004D4838">
        <w:trPr>
          <w:jc w:val="center"/>
        </w:trPr>
        <w:tc>
          <w:tcPr>
            <w:tcW w:w="1073" w:type="dxa"/>
          </w:tcPr>
          <w:p w:rsidR="00ED0851" w:rsidRPr="0074389B" w:rsidRDefault="00ED0851" w:rsidP="004D4838">
            <w:pPr>
              <w:pStyle w:val="BodyText"/>
              <w:spacing w:after="100" w:afterAutospacing="1"/>
              <w:jc w:val="center"/>
              <w:rPr>
                <w:lang w:eastAsia="zh-CN"/>
              </w:rPr>
            </w:pPr>
            <w:r w:rsidRPr="0074389B">
              <w:rPr>
                <w:lang w:eastAsia="zh-CN"/>
              </w:rPr>
              <w:t>4</w:t>
            </w:r>
          </w:p>
        </w:tc>
        <w:tc>
          <w:tcPr>
            <w:tcW w:w="1505" w:type="dxa"/>
          </w:tcPr>
          <w:p w:rsidR="00ED0851" w:rsidRPr="0074389B" w:rsidRDefault="00ED0851" w:rsidP="004D4838">
            <w:pPr>
              <w:pStyle w:val="BodyText"/>
              <w:spacing w:after="100" w:afterAutospacing="1"/>
              <w:jc w:val="center"/>
              <w:rPr>
                <w:lang w:eastAsia="zh-CN"/>
              </w:rPr>
            </w:pPr>
            <w:r w:rsidRPr="0074389B">
              <w:rPr>
                <w:lang w:eastAsia="zh-CN"/>
              </w:rPr>
              <w:t>0.4</w:t>
            </w:r>
          </w:p>
        </w:tc>
        <w:tc>
          <w:tcPr>
            <w:tcW w:w="1489" w:type="dxa"/>
          </w:tcPr>
          <w:p w:rsidR="00ED0851" w:rsidRPr="0074389B" w:rsidRDefault="00ED0851" w:rsidP="004D4838">
            <w:pPr>
              <w:pStyle w:val="BodyText"/>
              <w:spacing w:after="100" w:afterAutospacing="1"/>
              <w:jc w:val="center"/>
              <w:rPr>
                <w:lang w:eastAsia="zh-CN"/>
              </w:rPr>
            </w:pPr>
            <w:r w:rsidRPr="0074389B">
              <w:rPr>
                <w:lang w:eastAsia="zh-CN"/>
              </w:rPr>
              <w:t>2.5</w:t>
            </w:r>
          </w:p>
        </w:tc>
      </w:tr>
    </w:tbl>
    <w:p w:rsidR="00A90A96" w:rsidRPr="00B62BC9" w:rsidRDefault="00A90A96" w:rsidP="00A90A96">
      <w:pPr>
        <w:pStyle w:val="Heading1"/>
      </w:pPr>
      <w:r w:rsidRPr="00B62BC9">
        <w:t>Conclusions</w:t>
      </w:r>
    </w:p>
    <w:p w:rsidR="00A90A96" w:rsidRPr="001925D8" w:rsidRDefault="004A4A1F" w:rsidP="00A90A96">
      <w:r w:rsidRPr="00ED0851">
        <w:t>A model to be used for tight frequency re-use simulations have been proposed that assumes ideal processing gain for coh</w:t>
      </w:r>
      <w:r w:rsidRPr="001925D8">
        <w:t>erent repeated interference (both CCI and ACI). It could be considered to refine the model to exclude ACI considering the rotation introduced by the frequency offset that would destroy the coherency between repetitions.</w:t>
      </w:r>
    </w:p>
    <w:p w:rsidR="00E17DDB" w:rsidRPr="001925D8" w:rsidRDefault="00E17DDB" w:rsidP="006A05B1">
      <w:pPr>
        <w:pStyle w:val="Heading1"/>
      </w:pPr>
      <w:r w:rsidRPr="001925D8">
        <w:t>References</w:t>
      </w:r>
    </w:p>
    <w:bookmarkStart w:id="4" w:name="_Ref431943901"/>
    <w:p w:rsidR="00D21EB3" w:rsidRPr="0019217A" w:rsidRDefault="00D21EB3" w:rsidP="00D21EB3">
      <w:pPr>
        <w:pStyle w:val="Reference"/>
        <w:numPr>
          <w:ilvl w:val="0"/>
          <w:numId w:val="16"/>
        </w:numPr>
      </w:pPr>
      <w:r w:rsidRPr="0019217A">
        <w:fldChar w:fldCharType="begin"/>
      </w:r>
      <w:r w:rsidRPr="0019217A">
        <w:instrText xml:space="preserve"> HYPERLINK "ftp://ftp.3gpp.org/tsg_geran/TSG_GERAN/GERAN_67_Yinchuan/Docs/GP-151039.zip" </w:instrText>
      </w:r>
      <w:r w:rsidRPr="0019217A">
        <w:fldChar w:fldCharType="separate"/>
      </w:r>
      <w:r w:rsidRPr="0019217A">
        <w:rPr>
          <w:rStyle w:val="Hyperlink"/>
        </w:rPr>
        <w:t>GP-151039</w:t>
      </w:r>
      <w:r w:rsidRPr="0019217A">
        <w:fldChar w:fldCharType="end"/>
      </w:r>
      <w:r w:rsidRPr="0019217A">
        <w:t>, “New Work Item on Extended Coverage GSM (EC-GSM) for support of Cellular Internet of Things (CIoT_EC_GSM)”, source Ericsson LM, Intel, Gemalto N.V., MediaTek Inc., TeliaSonera AB, Sierra Wireless S.A., Telit Communications S.p.A., ORANGE, Nokia Networks, Alcatel-Lucent. GERAN#67.</w:t>
      </w:r>
      <w:bookmarkEnd w:id="4"/>
    </w:p>
    <w:p w:rsidR="00E32FDB" w:rsidRPr="0019217A" w:rsidRDefault="00547E3A" w:rsidP="003F2BAD">
      <w:pPr>
        <w:pStyle w:val="Reference"/>
        <w:numPr>
          <w:ilvl w:val="0"/>
          <w:numId w:val="16"/>
        </w:numPr>
      </w:pPr>
      <w:bookmarkStart w:id="5" w:name="_Ref413155857"/>
      <w:r w:rsidRPr="0019217A">
        <w:t>3GPP TR 45.820, Cellular System Support for Ultra Low Complexity and Low Throughput Internet of Things</w:t>
      </w:r>
      <w:r w:rsidR="000F10F4" w:rsidRPr="0019217A">
        <w:t xml:space="preserve"> V</w:t>
      </w:r>
      <w:r w:rsidR="00D21EB3" w:rsidRPr="0019217A">
        <w:t>13.0.0</w:t>
      </w:r>
      <w:bookmarkStart w:id="6" w:name="_Ref410169122"/>
      <w:bookmarkEnd w:id="5"/>
      <w:bookmarkEnd w:id="6"/>
    </w:p>
    <w:bookmarkStart w:id="7" w:name="_Ref441426820"/>
    <w:p w:rsidR="00806351" w:rsidRPr="0019217A" w:rsidRDefault="00806351" w:rsidP="003F2BAD">
      <w:pPr>
        <w:pStyle w:val="Reference"/>
        <w:numPr>
          <w:ilvl w:val="0"/>
          <w:numId w:val="16"/>
        </w:numPr>
      </w:pPr>
      <w:r w:rsidRPr="0019217A">
        <w:rPr>
          <w:rFonts w:cs="Arial"/>
        </w:rPr>
        <w:fldChar w:fldCharType="begin"/>
      </w:r>
      <w:r w:rsidRPr="0019217A">
        <w:rPr>
          <w:rFonts w:cs="Arial"/>
        </w:rPr>
        <w:instrText xml:space="preserve"> HYPERLINK "ftp://www.3gpp.org/tsg_geran/TSG_GERAN/GERAN_68_Anaheim/Docs/GP-151123.zip" </w:instrText>
      </w:r>
      <w:r w:rsidR="0000780F" w:rsidRPr="0019217A">
        <w:rPr>
          <w:rFonts w:cs="Arial"/>
        </w:rPr>
      </w:r>
      <w:r w:rsidRPr="0019217A">
        <w:rPr>
          <w:rFonts w:cs="Arial"/>
        </w:rPr>
        <w:fldChar w:fldCharType="separate"/>
      </w:r>
      <w:r w:rsidRPr="0019217A">
        <w:rPr>
          <w:rStyle w:val="Hyperlink"/>
          <w:rFonts w:cs="Arial"/>
        </w:rPr>
        <w:t>GP-151123</w:t>
      </w:r>
      <w:r w:rsidRPr="0019217A">
        <w:rPr>
          <w:rFonts w:cs="Arial"/>
        </w:rPr>
        <w:fldChar w:fldCharType="end"/>
      </w:r>
      <w:r w:rsidRPr="0019217A">
        <w:rPr>
          <w:rFonts w:cs="Arial"/>
        </w:rPr>
        <w:t>, ”Simulator for investigation of GPRS &amp; EC-EGPRS synchronization performance”, source Ericsson LM. GERAN#68</w:t>
      </w:r>
      <w:bookmarkEnd w:id="7"/>
    </w:p>
    <w:bookmarkStart w:id="8" w:name="_Ref441426857"/>
    <w:p w:rsidR="00806351" w:rsidRPr="0019217A" w:rsidRDefault="00806351" w:rsidP="003F2BAD">
      <w:pPr>
        <w:pStyle w:val="Reference"/>
        <w:numPr>
          <w:ilvl w:val="0"/>
          <w:numId w:val="16"/>
        </w:numPr>
      </w:pPr>
      <w:r w:rsidRPr="0019217A">
        <w:rPr>
          <w:rFonts w:cs="Arial"/>
        </w:rPr>
        <w:fldChar w:fldCharType="begin"/>
      </w:r>
      <w:r w:rsidRPr="0019217A">
        <w:rPr>
          <w:rFonts w:cs="Arial"/>
        </w:rPr>
        <w:instrText xml:space="preserve"> HYPERLINK "ftp://www.3gpp.org/tsg_geran/TSG_GERAN/GERAN_68_Anaheim/Docs/GP-151124.zip" </w:instrText>
      </w:r>
      <w:r w:rsidR="0000780F" w:rsidRPr="0019217A">
        <w:rPr>
          <w:rFonts w:cs="Arial"/>
        </w:rPr>
      </w:r>
      <w:r w:rsidRPr="0019217A">
        <w:rPr>
          <w:rFonts w:cs="Arial"/>
        </w:rPr>
        <w:fldChar w:fldCharType="separate"/>
      </w:r>
      <w:r w:rsidRPr="0019217A">
        <w:rPr>
          <w:rStyle w:val="Hyperlink"/>
          <w:rFonts w:cs="Arial"/>
        </w:rPr>
        <w:t>GP-151124</w:t>
      </w:r>
      <w:r w:rsidRPr="0019217A">
        <w:rPr>
          <w:rFonts w:cs="Arial"/>
        </w:rPr>
        <w:fldChar w:fldCharType="end"/>
      </w:r>
      <w:r w:rsidRPr="0019217A">
        <w:rPr>
          <w:rFonts w:cs="Arial"/>
        </w:rPr>
        <w:t>, “GPRS synchronization performance in a tight frequency reuse scenario”, source Ericsson LM. GERAN#68</w:t>
      </w:r>
      <w:bookmarkEnd w:id="8"/>
    </w:p>
    <w:bookmarkStart w:id="9" w:name="_Ref441427224"/>
    <w:p w:rsidR="00A351FF" w:rsidRPr="0019217A" w:rsidRDefault="00A351FF" w:rsidP="003F2BAD">
      <w:pPr>
        <w:pStyle w:val="Reference"/>
        <w:numPr>
          <w:ilvl w:val="0"/>
          <w:numId w:val="16"/>
        </w:numPr>
      </w:pPr>
      <w:r w:rsidRPr="0019217A">
        <w:rPr>
          <w:rFonts w:cs="Arial"/>
        </w:rPr>
        <w:fldChar w:fldCharType="begin"/>
      </w:r>
      <w:r w:rsidRPr="0019217A">
        <w:rPr>
          <w:rFonts w:cs="Arial"/>
        </w:rPr>
        <w:instrText xml:space="preserve"> HYPERLINK "ftp://www.3gpp.org/tsg_geran/TSG_GERAN/GERAN_66_Vilnius/Docs/GP-150435.zip" </w:instrText>
      </w:r>
      <w:r w:rsidR="0000780F" w:rsidRPr="0019217A">
        <w:rPr>
          <w:rFonts w:cs="Arial"/>
        </w:rPr>
      </w:r>
      <w:r w:rsidRPr="0019217A">
        <w:rPr>
          <w:rFonts w:cs="Arial"/>
        </w:rPr>
        <w:fldChar w:fldCharType="separate"/>
      </w:r>
      <w:r w:rsidRPr="0019217A">
        <w:rPr>
          <w:rStyle w:val="Hyperlink"/>
          <w:rFonts w:cs="Arial"/>
        </w:rPr>
        <w:t>GP-150435</w:t>
      </w:r>
      <w:r w:rsidRPr="0019217A">
        <w:rPr>
          <w:rFonts w:cs="Arial"/>
        </w:rPr>
        <w:fldChar w:fldCharType="end"/>
      </w:r>
      <w:r w:rsidRPr="0019217A">
        <w:rPr>
          <w:rFonts w:cs="Arial"/>
        </w:rPr>
        <w:t>, “EC-GSM, Link modelling methodology for EC-RACH capacity evaluations (update of GPC150193)”, source Ericsson LM. GERAN#66</w:t>
      </w:r>
      <w:bookmarkEnd w:id="9"/>
    </w:p>
    <w:bookmarkStart w:id="10" w:name="_Ref441427421"/>
    <w:p w:rsidR="00A351FF" w:rsidRPr="0019217A" w:rsidRDefault="00A351FF" w:rsidP="003F2BAD">
      <w:pPr>
        <w:pStyle w:val="Reference"/>
        <w:numPr>
          <w:ilvl w:val="0"/>
          <w:numId w:val="16"/>
        </w:numPr>
      </w:pPr>
      <w:r w:rsidRPr="0019217A">
        <w:rPr>
          <w:rFonts w:cs="Arial"/>
        </w:rPr>
        <w:fldChar w:fldCharType="begin"/>
      </w:r>
      <w:r w:rsidRPr="0019217A">
        <w:rPr>
          <w:rFonts w:cs="Arial"/>
        </w:rPr>
        <w:instrText xml:space="preserve"> HYPERLINK "ftp://www.3gpp.org/tsg_geran/TSG_GERAN/GERAN_67_Yinchuan/Docs/GP-150762.zip" </w:instrText>
      </w:r>
      <w:r w:rsidR="0000780F" w:rsidRPr="0019217A">
        <w:rPr>
          <w:rFonts w:cs="Arial"/>
        </w:rPr>
      </w:r>
      <w:r w:rsidRPr="0019217A">
        <w:rPr>
          <w:rFonts w:cs="Arial"/>
        </w:rPr>
        <w:fldChar w:fldCharType="separate"/>
      </w:r>
      <w:r w:rsidRPr="0019217A">
        <w:rPr>
          <w:rStyle w:val="Hyperlink"/>
          <w:rFonts w:cs="Arial"/>
        </w:rPr>
        <w:t>GP-150762</w:t>
      </w:r>
      <w:r w:rsidRPr="0019217A">
        <w:rPr>
          <w:rFonts w:cs="Arial"/>
        </w:rPr>
        <w:fldChar w:fldCharType="end"/>
      </w:r>
      <w:r w:rsidRPr="0019217A">
        <w:rPr>
          <w:rFonts w:cs="Arial"/>
        </w:rPr>
        <w:t>, “EC-GSM, Link modeling methodology for EC-PDTCH capacity evaluations (update of GPC150441)”, source Ericsson LM. GERAN#67</w:t>
      </w:r>
      <w:bookmarkEnd w:id="10"/>
    </w:p>
    <w:p w:rsidR="00CF3CC2" w:rsidRPr="0019217A" w:rsidRDefault="00A12A7F" w:rsidP="007A136D">
      <w:pPr>
        <w:pStyle w:val="Reference"/>
        <w:numPr>
          <w:ilvl w:val="0"/>
          <w:numId w:val="16"/>
        </w:numPr>
      </w:pPr>
      <w:bookmarkStart w:id="11" w:name="_Ref441427721"/>
      <w:r w:rsidRPr="0019217A">
        <w:t>GP-160</w:t>
      </w:r>
      <w:r w:rsidR="00150DCD" w:rsidRPr="0019217A">
        <w:t>026</w:t>
      </w:r>
      <w:r w:rsidRPr="0019217A">
        <w:t xml:space="preserve">, “Dependency on number of coverage classes for EC-EGPRS on system capacity (update of GP-151125)”, source Ericsson LM. </w:t>
      </w:r>
      <w:r w:rsidRPr="0019217A">
        <w:rPr>
          <w:rFonts w:cs="Arial"/>
        </w:rPr>
        <w:t>GERAN Telco#3 on EC-GSM and eDRX</w:t>
      </w:r>
      <w:bookmarkEnd w:id="11"/>
    </w:p>
    <w:sectPr w:rsidR="00CF3CC2" w:rsidRPr="0019217A"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009" w:rsidRDefault="007C5009">
      <w:r>
        <w:separator/>
      </w:r>
    </w:p>
  </w:endnote>
  <w:endnote w:type="continuationSeparator" w:id="0">
    <w:p w:rsidR="007C5009" w:rsidRDefault="007C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728B5">
      <w:rPr>
        <w:rStyle w:val="PageNumber"/>
        <w:noProof/>
      </w:rPr>
      <w:t>2</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8B5">
      <w:rPr>
        <w:rStyle w:val="PageNumber"/>
        <w:noProof/>
      </w:rPr>
      <w:t>4</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D728B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8B5">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009" w:rsidRDefault="007C5009">
      <w:r>
        <w:separator/>
      </w:r>
    </w:p>
  </w:footnote>
  <w:footnote w:type="continuationSeparator" w:id="0">
    <w:p w:rsidR="007C5009" w:rsidRDefault="007C5009">
      <w:r>
        <w:continuationSeparator/>
      </w:r>
    </w:p>
  </w:footnote>
  <w:footnote w:id="1">
    <w:p w:rsidR="00CD74EC" w:rsidRPr="00FD7D57" w:rsidRDefault="00CD74EC">
      <w:pPr>
        <w:pStyle w:val="FootnoteText"/>
      </w:pPr>
      <w:r>
        <w:rPr>
          <w:rStyle w:val="FootnoteReference"/>
        </w:rPr>
        <w:footnoteRef/>
      </w:r>
      <w:r w:rsidRPr="00FD7D57">
        <w:t xml:space="preserve"> Here refe</w:t>
      </w:r>
      <w:r w:rsidR="001925D8">
        <w:t>r</w:t>
      </w:r>
      <w:r w:rsidRPr="00FD7D57">
        <w:t>ring to the MS procedure of synchronizing to the network. Not to be confused with the synchronization of cells within the network.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724504" w:rsidRDefault="008C6473" w:rsidP="008C6473">
    <w:pPr>
      <w:pStyle w:val="Header"/>
      <w:spacing w:after="0"/>
      <w:rPr>
        <w:lang w:val="sv-SE"/>
      </w:rPr>
    </w:pPr>
    <w:r w:rsidRPr="00724504">
      <w:rPr>
        <w:lang w:val="sv-SE"/>
      </w:rPr>
      <w:t xml:space="preserve">3GPP TSG GERAN WG1 </w:t>
    </w:r>
    <w:r w:rsidR="0039076C" w:rsidRPr="00724504">
      <w:rPr>
        <w:lang w:val="sv-SE"/>
      </w:rPr>
      <w:t>#69</w:t>
    </w:r>
    <w:r w:rsidRPr="00724504">
      <w:rPr>
        <w:lang w:val="sv-SE"/>
      </w:rPr>
      <w:tab/>
    </w:r>
    <w:r w:rsidRPr="00724504">
      <w:rPr>
        <w:lang w:val="sv-SE"/>
      </w:rPr>
      <w:tab/>
      <w:t>Tdoc GP-1</w:t>
    </w:r>
    <w:r w:rsidR="0039076C" w:rsidRPr="00724504">
      <w:rPr>
        <w:lang w:val="sv-SE"/>
      </w:rPr>
      <w:t>60</w:t>
    </w:r>
    <w:r w:rsidR="0041619B" w:rsidRPr="00724504">
      <w:rPr>
        <w:lang w:val="sv-SE"/>
      </w:rPr>
      <w:t>029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Pr="00724504" w:rsidRDefault="00D21EB3" w:rsidP="007052FD">
    <w:pPr>
      <w:pStyle w:val="Header"/>
      <w:spacing w:after="0"/>
      <w:rPr>
        <w:lang w:val="sv-SE"/>
      </w:rPr>
    </w:pPr>
    <w:r w:rsidRPr="00724504">
      <w:rPr>
        <w:lang w:val="sv-SE"/>
      </w:rPr>
      <w:t>3GPP TSG GERAN</w:t>
    </w:r>
    <w:r w:rsidR="00D7439F" w:rsidRPr="00724504">
      <w:rPr>
        <w:lang w:val="sv-SE"/>
      </w:rPr>
      <w:t xml:space="preserve"> </w:t>
    </w:r>
    <w:r w:rsidR="008C6473" w:rsidRPr="00724504">
      <w:rPr>
        <w:lang w:val="sv-SE"/>
      </w:rPr>
      <w:t xml:space="preserve">WG1 </w:t>
    </w:r>
    <w:r w:rsidR="00EA0280" w:rsidRPr="00724504">
      <w:rPr>
        <w:lang w:val="sv-SE"/>
      </w:rPr>
      <w:t>#69</w:t>
    </w:r>
    <w:r w:rsidR="00D7439F" w:rsidRPr="00724504">
      <w:rPr>
        <w:lang w:val="sv-SE"/>
      </w:rPr>
      <w:tab/>
    </w:r>
    <w:r w:rsidR="00D44C49" w:rsidRPr="00724504">
      <w:rPr>
        <w:lang w:val="sv-SE"/>
      </w:rPr>
      <w:tab/>
      <w:t>Tdoc GP-</w:t>
    </w:r>
    <w:r w:rsidR="007052FD" w:rsidRPr="00724504">
      <w:rPr>
        <w:lang w:val="sv-SE"/>
      </w:rPr>
      <w:t>1</w:t>
    </w:r>
    <w:r w:rsidR="00EA0280" w:rsidRPr="00724504">
      <w:rPr>
        <w:lang w:val="sv-SE"/>
      </w:rPr>
      <w:t>60</w:t>
    </w:r>
    <w:r w:rsidR="0041619B" w:rsidRPr="00724504">
      <w:rPr>
        <w:lang w:val="sv-SE"/>
      </w:rPr>
      <w:t>029</w:t>
    </w:r>
  </w:p>
  <w:p w:rsidR="00D505CA" w:rsidRPr="00D44C49" w:rsidRDefault="00D7439F" w:rsidP="00D44C49">
    <w:pPr>
      <w:pStyle w:val="Header"/>
      <w:spacing w:after="0"/>
      <w:rPr>
        <w:lang w:val="it-IT"/>
      </w:rPr>
    </w:pPr>
    <w:r w:rsidRPr="00FD7D57">
      <w:t>1</w:t>
    </w:r>
    <w:r w:rsidR="00EA0280" w:rsidRPr="00FD7D57">
      <w:t>5</w:t>
    </w:r>
    <w:r w:rsidRPr="00FD7D57">
      <w:rPr>
        <w:vertAlign w:val="superscript"/>
      </w:rPr>
      <w:t>th</w:t>
    </w:r>
    <w:r w:rsidR="002C485C" w:rsidRPr="00FD7D57">
      <w:t xml:space="preserve"> </w:t>
    </w:r>
    <w:r w:rsidR="00EA0280" w:rsidRPr="00FD7D57">
      <w:t>– 18</w:t>
    </w:r>
    <w:r w:rsidRPr="00FD7D57">
      <w:rPr>
        <w:vertAlign w:val="superscript"/>
      </w:rPr>
      <w:t>th</w:t>
    </w:r>
    <w:r w:rsidRPr="00FD7D57">
      <w:t xml:space="preserve"> </w:t>
    </w:r>
    <w:r w:rsidR="00EA0280" w:rsidRPr="00FD7D57">
      <w:t>February</w:t>
    </w:r>
    <w:r w:rsidR="007052FD" w:rsidRPr="00FD7D57">
      <w:t>, 201</w:t>
    </w:r>
    <w:r w:rsidR="00EA0280" w:rsidRPr="00FD7D57">
      <w:t>6</w:t>
    </w:r>
    <w:r w:rsidR="00D44C49" w:rsidRPr="00FD7D57">
      <w:tab/>
    </w:r>
    <w:r w:rsidR="00D44C49" w:rsidRPr="00FD7D57">
      <w:tab/>
    </w:r>
    <w:r w:rsidR="00D44C49" w:rsidRPr="00DF79BF">
      <w:rPr>
        <w:lang w:val="it-IT"/>
      </w:rPr>
      <w:t xml:space="preserve">Agenda item </w:t>
    </w:r>
    <w:r w:rsidR="00897FF3">
      <w:rPr>
        <w:lang w:val="it-IT"/>
      </w:rPr>
      <w:t>7.1.5.</w:t>
    </w:r>
    <w:r w:rsidR="00EA0280">
      <w:rPr>
        <w:lang w:val="it-IT"/>
      </w:rPr>
      <w:t>1.2</w:t>
    </w:r>
    <w:r w:rsidR="007052FD" w:rsidRPr="00FD7D57">
      <w:br/>
    </w:r>
    <w:bookmarkStart w:id="13" w:name="_Ref515183447"/>
    <w:bookmarkEnd w:id="13"/>
    <w:r w:rsidR="00F27EE7" w:rsidRPr="00FD7D57">
      <w:t>Source: Ericsson</w:t>
    </w:r>
    <w:r w:rsidR="002C485C" w:rsidRPr="00FD7D57">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9400605"/>
    <w:multiLevelType w:val="hybridMultilevel"/>
    <w:tmpl w:val="450E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02C66E8"/>
    <w:multiLevelType w:val="hybridMultilevel"/>
    <w:tmpl w:val="3178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205ED2"/>
    <w:multiLevelType w:val="hybridMultilevel"/>
    <w:tmpl w:val="C87E27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AAD131F"/>
    <w:multiLevelType w:val="multilevel"/>
    <w:tmpl w:val="75DACA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4C176176"/>
    <w:multiLevelType w:val="hybridMultilevel"/>
    <w:tmpl w:val="7702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704A31"/>
    <w:multiLevelType w:val="hybridMultilevel"/>
    <w:tmpl w:val="DCE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0"/>
  </w:num>
  <w:num w:numId="7">
    <w:abstractNumId w:val="14"/>
  </w:num>
  <w:num w:numId="8">
    <w:abstractNumId w:val="19"/>
  </w:num>
  <w:num w:numId="9">
    <w:abstractNumId w:val="23"/>
  </w:num>
  <w:num w:numId="10">
    <w:abstractNumId w:val="26"/>
  </w:num>
  <w:num w:numId="11">
    <w:abstractNumId w:val="16"/>
  </w:num>
  <w:num w:numId="12">
    <w:abstractNumId w:val="15"/>
  </w:num>
  <w:num w:numId="13">
    <w:abstractNumId w:val="0"/>
  </w:num>
  <w:num w:numId="14">
    <w:abstractNumId w:val="10"/>
  </w:num>
  <w:num w:numId="15">
    <w:abstractNumId w:val="11"/>
  </w:num>
  <w:num w:numId="16">
    <w:abstractNumId w:val="14"/>
    <w:lvlOverride w:ilvl="0">
      <w:startOverride w:val="1"/>
    </w:lvlOverride>
  </w:num>
  <w:num w:numId="17">
    <w:abstractNumId w:val="12"/>
  </w:num>
  <w:num w:numId="18">
    <w:abstractNumId w:val="8"/>
  </w:num>
  <w:num w:numId="19">
    <w:abstractNumId w:val="22"/>
  </w:num>
  <w:num w:numId="20">
    <w:abstractNumId w:val="24"/>
  </w:num>
  <w:num w:numId="21">
    <w:abstractNumId w:val="6"/>
  </w:num>
  <w:num w:numId="22">
    <w:abstractNumId w:val="28"/>
  </w:num>
  <w:num w:numId="23">
    <w:abstractNumId w:val="18"/>
  </w:num>
  <w:num w:numId="24">
    <w:abstractNumId w:val="29"/>
  </w:num>
  <w:num w:numId="25">
    <w:abstractNumId w:val="7"/>
  </w:num>
  <w:num w:numId="26">
    <w:abstractNumId w:val="17"/>
  </w:num>
  <w:num w:numId="27">
    <w:abstractNumId w:val="27"/>
  </w:num>
  <w:num w:numId="28">
    <w:abstractNumId w:val="13"/>
  </w:num>
  <w:num w:numId="29">
    <w:abstractNumId w:val="9"/>
  </w:num>
  <w:num w:numId="30">
    <w:abstractNumId w:val="21"/>
  </w:num>
  <w:num w:numId="31">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EB2"/>
    <w:rsid w:val="00003D56"/>
    <w:rsid w:val="00004093"/>
    <w:rsid w:val="00005E4C"/>
    <w:rsid w:val="0000723E"/>
    <w:rsid w:val="00007639"/>
    <w:rsid w:val="00007693"/>
    <w:rsid w:val="0000780F"/>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6E0F"/>
    <w:rsid w:val="00036EE4"/>
    <w:rsid w:val="00036FBD"/>
    <w:rsid w:val="00037318"/>
    <w:rsid w:val="00037D52"/>
    <w:rsid w:val="0004021D"/>
    <w:rsid w:val="000432B9"/>
    <w:rsid w:val="00047404"/>
    <w:rsid w:val="000476F1"/>
    <w:rsid w:val="00051509"/>
    <w:rsid w:val="0005221D"/>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354"/>
    <w:rsid w:val="0008045A"/>
    <w:rsid w:val="00080C5A"/>
    <w:rsid w:val="00081D0E"/>
    <w:rsid w:val="00082CF2"/>
    <w:rsid w:val="000839AE"/>
    <w:rsid w:val="00084891"/>
    <w:rsid w:val="00084917"/>
    <w:rsid w:val="00085559"/>
    <w:rsid w:val="00085B0D"/>
    <w:rsid w:val="00085F02"/>
    <w:rsid w:val="0008658A"/>
    <w:rsid w:val="000865DB"/>
    <w:rsid w:val="00086C0F"/>
    <w:rsid w:val="00087BE7"/>
    <w:rsid w:val="00090398"/>
    <w:rsid w:val="00090BF3"/>
    <w:rsid w:val="00091E68"/>
    <w:rsid w:val="0009208C"/>
    <w:rsid w:val="00093C4B"/>
    <w:rsid w:val="00096217"/>
    <w:rsid w:val="000976AC"/>
    <w:rsid w:val="000A037D"/>
    <w:rsid w:val="000A107F"/>
    <w:rsid w:val="000A1F7F"/>
    <w:rsid w:val="000A2615"/>
    <w:rsid w:val="000A2AF0"/>
    <w:rsid w:val="000A2C73"/>
    <w:rsid w:val="000A3308"/>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66"/>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0ABF"/>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07A8"/>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0DCD"/>
    <w:rsid w:val="001519E1"/>
    <w:rsid w:val="0015244E"/>
    <w:rsid w:val="00152BC4"/>
    <w:rsid w:val="0015360B"/>
    <w:rsid w:val="001547D7"/>
    <w:rsid w:val="00154A3E"/>
    <w:rsid w:val="00155385"/>
    <w:rsid w:val="001559BB"/>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087"/>
    <w:rsid w:val="00173B04"/>
    <w:rsid w:val="00173BF5"/>
    <w:rsid w:val="00174A53"/>
    <w:rsid w:val="00175A90"/>
    <w:rsid w:val="00176DD7"/>
    <w:rsid w:val="00177B09"/>
    <w:rsid w:val="00177B39"/>
    <w:rsid w:val="0018159D"/>
    <w:rsid w:val="00182EA3"/>
    <w:rsid w:val="001841E7"/>
    <w:rsid w:val="0018501E"/>
    <w:rsid w:val="001857EC"/>
    <w:rsid w:val="001865CD"/>
    <w:rsid w:val="0018668D"/>
    <w:rsid w:val="00186826"/>
    <w:rsid w:val="00186BB6"/>
    <w:rsid w:val="001873BB"/>
    <w:rsid w:val="001879A6"/>
    <w:rsid w:val="00187FFC"/>
    <w:rsid w:val="00190AED"/>
    <w:rsid w:val="001919BD"/>
    <w:rsid w:val="0019217A"/>
    <w:rsid w:val="00192386"/>
    <w:rsid w:val="001925D8"/>
    <w:rsid w:val="0019274D"/>
    <w:rsid w:val="0019378B"/>
    <w:rsid w:val="00193BE6"/>
    <w:rsid w:val="0019426B"/>
    <w:rsid w:val="0019530D"/>
    <w:rsid w:val="00196B77"/>
    <w:rsid w:val="001A14DB"/>
    <w:rsid w:val="001A236E"/>
    <w:rsid w:val="001A2EC3"/>
    <w:rsid w:val="001A31E6"/>
    <w:rsid w:val="001A52CD"/>
    <w:rsid w:val="001A68ED"/>
    <w:rsid w:val="001A74BA"/>
    <w:rsid w:val="001A76B9"/>
    <w:rsid w:val="001B033B"/>
    <w:rsid w:val="001B0553"/>
    <w:rsid w:val="001B11C2"/>
    <w:rsid w:val="001B1402"/>
    <w:rsid w:val="001B17B1"/>
    <w:rsid w:val="001B1A12"/>
    <w:rsid w:val="001B4062"/>
    <w:rsid w:val="001B4E2B"/>
    <w:rsid w:val="001B68ED"/>
    <w:rsid w:val="001B7405"/>
    <w:rsid w:val="001C03F9"/>
    <w:rsid w:val="001C0F49"/>
    <w:rsid w:val="001C121A"/>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50C4"/>
    <w:rsid w:val="001E5F92"/>
    <w:rsid w:val="001E62FE"/>
    <w:rsid w:val="001F00FD"/>
    <w:rsid w:val="001F0FEA"/>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453"/>
    <w:rsid w:val="00221D9E"/>
    <w:rsid w:val="00223B6C"/>
    <w:rsid w:val="00223BEE"/>
    <w:rsid w:val="00223DD7"/>
    <w:rsid w:val="0022497A"/>
    <w:rsid w:val="00225724"/>
    <w:rsid w:val="00225DB2"/>
    <w:rsid w:val="002301B3"/>
    <w:rsid w:val="0023073F"/>
    <w:rsid w:val="00231EC7"/>
    <w:rsid w:val="00232177"/>
    <w:rsid w:val="002325D0"/>
    <w:rsid w:val="00233DA4"/>
    <w:rsid w:val="00234E7C"/>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243"/>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92D"/>
    <w:rsid w:val="00264D9E"/>
    <w:rsid w:val="002654E0"/>
    <w:rsid w:val="00266778"/>
    <w:rsid w:val="0026749A"/>
    <w:rsid w:val="00267958"/>
    <w:rsid w:val="002708FE"/>
    <w:rsid w:val="00271C0B"/>
    <w:rsid w:val="00271D77"/>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59D2"/>
    <w:rsid w:val="002B6A64"/>
    <w:rsid w:val="002B7360"/>
    <w:rsid w:val="002C0170"/>
    <w:rsid w:val="002C0369"/>
    <w:rsid w:val="002C0770"/>
    <w:rsid w:val="002C168B"/>
    <w:rsid w:val="002C20B2"/>
    <w:rsid w:val="002C3AC9"/>
    <w:rsid w:val="002C485C"/>
    <w:rsid w:val="002C631C"/>
    <w:rsid w:val="002C6CB3"/>
    <w:rsid w:val="002C6E37"/>
    <w:rsid w:val="002C790C"/>
    <w:rsid w:val="002C7B47"/>
    <w:rsid w:val="002D0DBF"/>
    <w:rsid w:val="002D19D8"/>
    <w:rsid w:val="002D1A08"/>
    <w:rsid w:val="002D1B7D"/>
    <w:rsid w:val="002D2269"/>
    <w:rsid w:val="002D28DA"/>
    <w:rsid w:val="002D32A3"/>
    <w:rsid w:val="002D36D3"/>
    <w:rsid w:val="002D4822"/>
    <w:rsid w:val="002D4A3A"/>
    <w:rsid w:val="002D4F1F"/>
    <w:rsid w:val="002D4FA5"/>
    <w:rsid w:val="002D5386"/>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02"/>
    <w:rsid w:val="00302C82"/>
    <w:rsid w:val="00303707"/>
    <w:rsid w:val="003040F0"/>
    <w:rsid w:val="003063A5"/>
    <w:rsid w:val="00307D88"/>
    <w:rsid w:val="003107ED"/>
    <w:rsid w:val="003119CA"/>
    <w:rsid w:val="00311A07"/>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032C"/>
    <w:rsid w:val="00341851"/>
    <w:rsid w:val="003430FE"/>
    <w:rsid w:val="00343A5A"/>
    <w:rsid w:val="0034451D"/>
    <w:rsid w:val="00344A53"/>
    <w:rsid w:val="003450B2"/>
    <w:rsid w:val="003468BC"/>
    <w:rsid w:val="00346C12"/>
    <w:rsid w:val="003500A7"/>
    <w:rsid w:val="00351194"/>
    <w:rsid w:val="0035136A"/>
    <w:rsid w:val="003513BF"/>
    <w:rsid w:val="00351BAD"/>
    <w:rsid w:val="00353745"/>
    <w:rsid w:val="003549E9"/>
    <w:rsid w:val="00356ED2"/>
    <w:rsid w:val="00357648"/>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E0B"/>
    <w:rsid w:val="00386029"/>
    <w:rsid w:val="003864C5"/>
    <w:rsid w:val="003868E6"/>
    <w:rsid w:val="00387141"/>
    <w:rsid w:val="003875C5"/>
    <w:rsid w:val="00387F66"/>
    <w:rsid w:val="00390603"/>
    <w:rsid w:val="0039076C"/>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1F63"/>
    <w:rsid w:val="003A26EA"/>
    <w:rsid w:val="003A2B68"/>
    <w:rsid w:val="003A369D"/>
    <w:rsid w:val="003A3E09"/>
    <w:rsid w:val="003A4956"/>
    <w:rsid w:val="003A50A4"/>
    <w:rsid w:val="003A733F"/>
    <w:rsid w:val="003B0263"/>
    <w:rsid w:val="003B0C4D"/>
    <w:rsid w:val="003B0DC4"/>
    <w:rsid w:val="003B1908"/>
    <w:rsid w:val="003B2F9E"/>
    <w:rsid w:val="003B4192"/>
    <w:rsid w:val="003B545B"/>
    <w:rsid w:val="003B5A41"/>
    <w:rsid w:val="003B5C6D"/>
    <w:rsid w:val="003B7319"/>
    <w:rsid w:val="003C0CB1"/>
    <w:rsid w:val="003C184B"/>
    <w:rsid w:val="003C1B66"/>
    <w:rsid w:val="003C4258"/>
    <w:rsid w:val="003C458B"/>
    <w:rsid w:val="003C4B82"/>
    <w:rsid w:val="003C533F"/>
    <w:rsid w:val="003C56F6"/>
    <w:rsid w:val="003C6D52"/>
    <w:rsid w:val="003D00E2"/>
    <w:rsid w:val="003D0379"/>
    <w:rsid w:val="003D0F91"/>
    <w:rsid w:val="003D3255"/>
    <w:rsid w:val="003D39F6"/>
    <w:rsid w:val="003D50DE"/>
    <w:rsid w:val="003D5365"/>
    <w:rsid w:val="003D5851"/>
    <w:rsid w:val="003D6049"/>
    <w:rsid w:val="003E0239"/>
    <w:rsid w:val="003E0C68"/>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49B4"/>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19B"/>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8C2"/>
    <w:rsid w:val="00434F66"/>
    <w:rsid w:val="004362AD"/>
    <w:rsid w:val="00436C08"/>
    <w:rsid w:val="00440418"/>
    <w:rsid w:val="004413F7"/>
    <w:rsid w:val="004431AE"/>
    <w:rsid w:val="004436AA"/>
    <w:rsid w:val="0044437F"/>
    <w:rsid w:val="004453BC"/>
    <w:rsid w:val="00445B6A"/>
    <w:rsid w:val="00445B71"/>
    <w:rsid w:val="00445F12"/>
    <w:rsid w:val="004460C6"/>
    <w:rsid w:val="00446697"/>
    <w:rsid w:val="00447ADE"/>
    <w:rsid w:val="0045001C"/>
    <w:rsid w:val="00450590"/>
    <w:rsid w:val="004507B0"/>
    <w:rsid w:val="00452147"/>
    <w:rsid w:val="0045255E"/>
    <w:rsid w:val="004527ED"/>
    <w:rsid w:val="00452BC4"/>
    <w:rsid w:val="00452E1F"/>
    <w:rsid w:val="00453293"/>
    <w:rsid w:val="0045396F"/>
    <w:rsid w:val="00453A9A"/>
    <w:rsid w:val="00453FD2"/>
    <w:rsid w:val="004542FD"/>
    <w:rsid w:val="00455545"/>
    <w:rsid w:val="00455FA7"/>
    <w:rsid w:val="00456014"/>
    <w:rsid w:val="004563F7"/>
    <w:rsid w:val="00457A3F"/>
    <w:rsid w:val="004600B0"/>
    <w:rsid w:val="0046074E"/>
    <w:rsid w:val="004609F5"/>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8F1"/>
    <w:rsid w:val="00493D9F"/>
    <w:rsid w:val="00493E26"/>
    <w:rsid w:val="00494C3E"/>
    <w:rsid w:val="00496582"/>
    <w:rsid w:val="0049681A"/>
    <w:rsid w:val="0049716D"/>
    <w:rsid w:val="00497742"/>
    <w:rsid w:val="004A02F8"/>
    <w:rsid w:val="004A0625"/>
    <w:rsid w:val="004A1324"/>
    <w:rsid w:val="004A25AA"/>
    <w:rsid w:val="004A33A4"/>
    <w:rsid w:val="004A44EC"/>
    <w:rsid w:val="004A4A1F"/>
    <w:rsid w:val="004A53E3"/>
    <w:rsid w:val="004A5685"/>
    <w:rsid w:val="004A58A2"/>
    <w:rsid w:val="004A60E2"/>
    <w:rsid w:val="004A69C8"/>
    <w:rsid w:val="004A7004"/>
    <w:rsid w:val="004B1259"/>
    <w:rsid w:val="004B1554"/>
    <w:rsid w:val="004B164D"/>
    <w:rsid w:val="004B4802"/>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139"/>
    <w:rsid w:val="0050149B"/>
    <w:rsid w:val="00504DA0"/>
    <w:rsid w:val="005057E5"/>
    <w:rsid w:val="00505E76"/>
    <w:rsid w:val="00507936"/>
    <w:rsid w:val="00512D68"/>
    <w:rsid w:val="0051442B"/>
    <w:rsid w:val="00514990"/>
    <w:rsid w:val="005150AE"/>
    <w:rsid w:val="00515139"/>
    <w:rsid w:val="00515490"/>
    <w:rsid w:val="005159BF"/>
    <w:rsid w:val="00515EF6"/>
    <w:rsid w:val="00516B29"/>
    <w:rsid w:val="00516C54"/>
    <w:rsid w:val="00517EE8"/>
    <w:rsid w:val="00522448"/>
    <w:rsid w:val="0052248A"/>
    <w:rsid w:val="00522622"/>
    <w:rsid w:val="00522749"/>
    <w:rsid w:val="00522F17"/>
    <w:rsid w:val="00522F36"/>
    <w:rsid w:val="005231F8"/>
    <w:rsid w:val="005237C8"/>
    <w:rsid w:val="00523AEF"/>
    <w:rsid w:val="00525053"/>
    <w:rsid w:val="00525A1A"/>
    <w:rsid w:val="00526421"/>
    <w:rsid w:val="005275BF"/>
    <w:rsid w:val="00527ECA"/>
    <w:rsid w:val="00530AA1"/>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5ABA"/>
    <w:rsid w:val="00546A38"/>
    <w:rsid w:val="00546D41"/>
    <w:rsid w:val="005470B5"/>
    <w:rsid w:val="00547862"/>
    <w:rsid w:val="005478A5"/>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3930"/>
    <w:rsid w:val="00585357"/>
    <w:rsid w:val="00585AAA"/>
    <w:rsid w:val="00585BAB"/>
    <w:rsid w:val="00586422"/>
    <w:rsid w:val="0058663D"/>
    <w:rsid w:val="00587112"/>
    <w:rsid w:val="00590764"/>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0F0"/>
    <w:rsid w:val="005A5955"/>
    <w:rsid w:val="005A5A07"/>
    <w:rsid w:val="005A747E"/>
    <w:rsid w:val="005B0051"/>
    <w:rsid w:val="005B0E93"/>
    <w:rsid w:val="005B1D96"/>
    <w:rsid w:val="005B27E9"/>
    <w:rsid w:val="005B2E18"/>
    <w:rsid w:val="005B3108"/>
    <w:rsid w:val="005B3524"/>
    <w:rsid w:val="005B4AEE"/>
    <w:rsid w:val="005B5F16"/>
    <w:rsid w:val="005B6770"/>
    <w:rsid w:val="005B6C61"/>
    <w:rsid w:val="005B70A3"/>
    <w:rsid w:val="005B78AA"/>
    <w:rsid w:val="005C22E2"/>
    <w:rsid w:val="005C3010"/>
    <w:rsid w:val="005C342C"/>
    <w:rsid w:val="005C4AAC"/>
    <w:rsid w:val="005C4E3C"/>
    <w:rsid w:val="005C4E98"/>
    <w:rsid w:val="005C5D46"/>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99D"/>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32A"/>
    <w:rsid w:val="0060466E"/>
    <w:rsid w:val="006052FE"/>
    <w:rsid w:val="00605B74"/>
    <w:rsid w:val="00605CA9"/>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E16"/>
    <w:rsid w:val="00621FF9"/>
    <w:rsid w:val="00622234"/>
    <w:rsid w:val="00623A11"/>
    <w:rsid w:val="00623B90"/>
    <w:rsid w:val="006252D2"/>
    <w:rsid w:val="00626035"/>
    <w:rsid w:val="0062607A"/>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2E33"/>
    <w:rsid w:val="00643939"/>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BB6"/>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03EF"/>
    <w:rsid w:val="0067100F"/>
    <w:rsid w:val="00671CBC"/>
    <w:rsid w:val="00674101"/>
    <w:rsid w:val="00674774"/>
    <w:rsid w:val="00674F7C"/>
    <w:rsid w:val="00675524"/>
    <w:rsid w:val="006757B4"/>
    <w:rsid w:val="00675B30"/>
    <w:rsid w:val="0067611F"/>
    <w:rsid w:val="006770EC"/>
    <w:rsid w:val="006819AB"/>
    <w:rsid w:val="0068322B"/>
    <w:rsid w:val="00683E81"/>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05B1"/>
    <w:rsid w:val="006A1644"/>
    <w:rsid w:val="006A1DCC"/>
    <w:rsid w:val="006A39B7"/>
    <w:rsid w:val="006A41A1"/>
    <w:rsid w:val="006A45A8"/>
    <w:rsid w:val="006A4ED3"/>
    <w:rsid w:val="006A525C"/>
    <w:rsid w:val="006A5617"/>
    <w:rsid w:val="006A62BD"/>
    <w:rsid w:val="006A6F83"/>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3D4D"/>
    <w:rsid w:val="006C4035"/>
    <w:rsid w:val="006C447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07DB9"/>
    <w:rsid w:val="00711FCB"/>
    <w:rsid w:val="00712315"/>
    <w:rsid w:val="00713126"/>
    <w:rsid w:val="00713FCD"/>
    <w:rsid w:val="0071425B"/>
    <w:rsid w:val="007147A7"/>
    <w:rsid w:val="00714B99"/>
    <w:rsid w:val="00714CC0"/>
    <w:rsid w:val="00714EF4"/>
    <w:rsid w:val="00715903"/>
    <w:rsid w:val="00715CE3"/>
    <w:rsid w:val="00717A09"/>
    <w:rsid w:val="00720AE5"/>
    <w:rsid w:val="0072146A"/>
    <w:rsid w:val="007219B5"/>
    <w:rsid w:val="007221BC"/>
    <w:rsid w:val="00723631"/>
    <w:rsid w:val="00724504"/>
    <w:rsid w:val="00724B1C"/>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005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44C"/>
    <w:rsid w:val="0079168B"/>
    <w:rsid w:val="00791931"/>
    <w:rsid w:val="00791A89"/>
    <w:rsid w:val="0079221B"/>
    <w:rsid w:val="00795C32"/>
    <w:rsid w:val="00795EF8"/>
    <w:rsid w:val="00796628"/>
    <w:rsid w:val="00796C5C"/>
    <w:rsid w:val="0079794E"/>
    <w:rsid w:val="007A07E8"/>
    <w:rsid w:val="007A136D"/>
    <w:rsid w:val="007A15ED"/>
    <w:rsid w:val="007A1A93"/>
    <w:rsid w:val="007A255A"/>
    <w:rsid w:val="007A3437"/>
    <w:rsid w:val="007A4357"/>
    <w:rsid w:val="007A4C65"/>
    <w:rsid w:val="007A4E30"/>
    <w:rsid w:val="007A53E8"/>
    <w:rsid w:val="007A5720"/>
    <w:rsid w:val="007A5935"/>
    <w:rsid w:val="007A6D60"/>
    <w:rsid w:val="007A732B"/>
    <w:rsid w:val="007A7AF1"/>
    <w:rsid w:val="007B12FE"/>
    <w:rsid w:val="007B1A1C"/>
    <w:rsid w:val="007B1D4B"/>
    <w:rsid w:val="007B2726"/>
    <w:rsid w:val="007B2732"/>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09"/>
    <w:rsid w:val="007C5011"/>
    <w:rsid w:val="007C55BF"/>
    <w:rsid w:val="007C5ED1"/>
    <w:rsid w:val="007C6099"/>
    <w:rsid w:val="007C6547"/>
    <w:rsid w:val="007C6AE6"/>
    <w:rsid w:val="007C7669"/>
    <w:rsid w:val="007C7C52"/>
    <w:rsid w:val="007C7EBC"/>
    <w:rsid w:val="007D0AFA"/>
    <w:rsid w:val="007D1FBE"/>
    <w:rsid w:val="007D2656"/>
    <w:rsid w:val="007D2BB3"/>
    <w:rsid w:val="007D362F"/>
    <w:rsid w:val="007D3ABF"/>
    <w:rsid w:val="007D51E6"/>
    <w:rsid w:val="007D5CAE"/>
    <w:rsid w:val="007D5D77"/>
    <w:rsid w:val="007D6EAB"/>
    <w:rsid w:val="007E01FF"/>
    <w:rsid w:val="007E0F55"/>
    <w:rsid w:val="007E332E"/>
    <w:rsid w:val="007E39A9"/>
    <w:rsid w:val="007E5E3B"/>
    <w:rsid w:val="007E6FCE"/>
    <w:rsid w:val="007E766C"/>
    <w:rsid w:val="007F0EBB"/>
    <w:rsid w:val="007F143B"/>
    <w:rsid w:val="007F15B6"/>
    <w:rsid w:val="007F25D3"/>
    <w:rsid w:val="007F26EA"/>
    <w:rsid w:val="007F3DA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6351"/>
    <w:rsid w:val="00807DB8"/>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3C70"/>
    <w:rsid w:val="00835451"/>
    <w:rsid w:val="008355CB"/>
    <w:rsid w:val="008359F7"/>
    <w:rsid w:val="00836AA2"/>
    <w:rsid w:val="00836CB0"/>
    <w:rsid w:val="00836DD3"/>
    <w:rsid w:val="0083714F"/>
    <w:rsid w:val="00840C09"/>
    <w:rsid w:val="008415B1"/>
    <w:rsid w:val="00841790"/>
    <w:rsid w:val="008419F5"/>
    <w:rsid w:val="00842214"/>
    <w:rsid w:val="008464CC"/>
    <w:rsid w:val="0084767C"/>
    <w:rsid w:val="00847B4E"/>
    <w:rsid w:val="00847BFD"/>
    <w:rsid w:val="00850CF3"/>
    <w:rsid w:val="0085152E"/>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73E6"/>
    <w:rsid w:val="0087066E"/>
    <w:rsid w:val="00871018"/>
    <w:rsid w:val="00871432"/>
    <w:rsid w:val="00872908"/>
    <w:rsid w:val="00872D05"/>
    <w:rsid w:val="008734E2"/>
    <w:rsid w:val="00873AA8"/>
    <w:rsid w:val="00873C95"/>
    <w:rsid w:val="00874384"/>
    <w:rsid w:val="0087552D"/>
    <w:rsid w:val="00875BD7"/>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6153"/>
    <w:rsid w:val="008968E2"/>
    <w:rsid w:val="00897FF3"/>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8BB"/>
    <w:rsid w:val="008B4A80"/>
    <w:rsid w:val="008B4AF6"/>
    <w:rsid w:val="008B5B39"/>
    <w:rsid w:val="008B5E54"/>
    <w:rsid w:val="008B6679"/>
    <w:rsid w:val="008B6AD4"/>
    <w:rsid w:val="008B6FA5"/>
    <w:rsid w:val="008B74BB"/>
    <w:rsid w:val="008C0394"/>
    <w:rsid w:val="008C0D9B"/>
    <w:rsid w:val="008C1D05"/>
    <w:rsid w:val="008C2448"/>
    <w:rsid w:val="008C2D27"/>
    <w:rsid w:val="008C3853"/>
    <w:rsid w:val="008C52FE"/>
    <w:rsid w:val="008C6473"/>
    <w:rsid w:val="008C69E5"/>
    <w:rsid w:val="008D00E5"/>
    <w:rsid w:val="008D0383"/>
    <w:rsid w:val="008D136E"/>
    <w:rsid w:val="008D26DF"/>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6E3B"/>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8F7C25"/>
    <w:rsid w:val="009014E0"/>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533"/>
    <w:rsid w:val="00937A7F"/>
    <w:rsid w:val="00937F68"/>
    <w:rsid w:val="00940741"/>
    <w:rsid w:val="00941DD9"/>
    <w:rsid w:val="00941FAA"/>
    <w:rsid w:val="009428F5"/>
    <w:rsid w:val="00942C3E"/>
    <w:rsid w:val="00943598"/>
    <w:rsid w:val="00944024"/>
    <w:rsid w:val="00944572"/>
    <w:rsid w:val="0094565D"/>
    <w:rsid w:val="00945A81"/>
    <w:rsid w:val="0094661F"/>
    <w:rsid w:val="00947A2C"/>
    <w:rsid w:val="00947F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AD4"/>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2B7B"/>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BD2"/>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A05"/>
    <w:rsid w:val="009F2D18"/>
    <w:rsid w:val="009F365E"/>
    <w:rsid w:val="009F3E7A"/>
    <w:rsid w:val="009F4272"/>
    <w:rsid w:val="009F554F"/>
    <w:rsid w:val="009F67C9"/>
    <w:rsid w:val="009F6A06"/>
    <w:rsid w:val="009F72C0"/>
    <w:rsid w:val="009F73AB"/>
    <w:rsid w:val="009F7F3A"/>
    <w:rsid w:val="00A00798"/>
    <w:rsid w:val="00A00C65"/>
    <w:rsid w:val="00A01256"/>
    <w:rsid w:val="00A02C11"/>
    <w:rsid w:val="00A03D34"/>
    <w:rsid w:val="00A03DE4"/>
    <w:rsid w:val="00A04711"/>
    <w:rsid w:val="00A04FB3"/>
    <w:rsid w:val="00A05989"/>
    <w:rsid w:val="00A05BD7"/>
    <w:rsid w:val="00A0685F"/>
    <w:rsid w:val="00A06E56"/>
    <w:rsid w:val="00A072E6"/>
    <w:rsid w:val="00A0757E"/>
    <w:rsid w:val="00A07A91"/>
    <w:rsid w:val="00A12A7F"/>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51FF"/>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248C"/>
    <w:rsid w:val="00A53A92"/>
    <w:rsid w:val="00A54DAA"/>
    <w:rsid w:val="00A55F52"/>
    <w:rsid w:val="00A56FA4"/>
    <w:rsid w:val="00A57284"/>
    <w:rsid w:val="00A61EE6"/>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9E3"/>
    <w:rsid w:val="00A75032"/>
    <w:rsid w:val="00A771FE"/>
    <w:rsid w:val="00A77903"/>
    <w:rsid w:val="00A80A21"/>
    <w:rsid w:val="00A813F3"/>
    <w:rsid w:val="00A81F16"/>
    <w:rsid w:val="00A83D53"/>
    <w:rsid w:val="00A84085"/>
    <w:rsid w:val="00A878E5"/>
    <w:rsid w:val="00A90098"/>
    <w:rsid w:val="00A90A96"/>
    <w:rsid w:val="00A90B72"/>
    <w:rsid w:val="00A90C61"/>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2FE"/>
    <w:rsid w:val="00AA14ED"/>
    <w:rsid w:val="00AA2184"/>
    <w:rsid w:val="00AA299F"/>
    <w:rsid w:val="00AA2DDD"/>
    <w:rsid w:val="00AA2ECD"/>
    <w:rsid w:val="00AA2F4C"/>
    <w:rsid w:val="00AA389E"/>
    <w:rsid w:val="00AA4670"/>
    <w:rsid w:val="00AA51BA"/>
    <w:rsid w:val="00AA5EB8"/>
    <w:rsid w:val="00AA7877"/>
    <w:rsid w:val="00AA7F3B"/>
    <w:rsid w:val="00AB1BC5"/>
    <w:rsid w:val="00AB34FB"/>
    <w:rsid w:val="00AB3812"/>
    <w:rsid w:val="00AB386C"/>
    <w:rsid w:val="00AB3EA7"/>
    <w:rsid w:val="00AB5385"/>
    <w:rsid w:val="00AB63C9"/>
    <w:rsid w:val="00AB6A9A"/>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6302"/>
    <w:rsid w:val="00AD6438"/>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868"/>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058"/>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18C9"/>
    <w:rsid w:val="00B4221C"/>
    <w:rsid w:val="00B42441"/>
    <w:rsid w:val="00B424C5"/>
    <w:rsid w:val="00B443CB"/>
    <w:rsid w:val="00B460C7"/>
    <w:rsid w:val="00B46440"/>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BC9"/>
    <w:rsid w:val="00B62E7D"/>
    <w:rsid w:val="00B63221"/>
    <w:rsid w:val="00B6329A"/>
    <w:rsid w:val="00B64CCA"/>
    <w:rsid w:val="00B65973"/>
    <w:rsid w:val="00B66115"/>
    <w:rsid w:val="00B67014"/>
    <w:rsid w:val="00B674D3"/>
    <w:rsid w:val="00B67713"/>
    <w:rsid w:val="00B70198"/>
    <w:rsid w:val="00B70339"/>
    <w:rsid w:val="00B725C3"/>
    <w:rsid w:val="00B72D4B"/>
    <w:rsid w:val="00B7336A"/>
    <w:rsid w:val="00B73A8F"/>
    <w:rsid w:val="00B74590"/>
    <w:rsid w:val="00B74E2C"/>
    <w:rsid w:val="00B7517C"/>
    <w:rsid w:val="00B75824"/>
    <w:rsid w:val="00B75AAE"/>
    <w:rsid w:val="00B75F43"/>
    <w:rsid w:val="00B762CA"/>
    <w:rsid w:val="00B765D6"/>
    <w:rsid w:val="00B7699A"/>
    <w:rsid w:val="00B76CD7"/>
    <w:rsid w:val="00B80C19"/>
    <w:rsid w:val="00B83049"/>
    <w:rsid w:val="00B833CC"/>
    <w:rsid w:val="00B84571"/>
    <w:rsid w:val="00B85144"/>
    <w:rsid w:val="00B851F7"/>
    <w:rsid w:val="00B8520A"/>
    <w:rsid w:val="00B875E8"/>
    <w:rsid w:val="00B919B5"/>
    <w:rsid w:val="00B92833"/>
    <w:rsid w:val="00B93101"/>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377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814"/>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BC9"/>
    <w:rsid w:val="00C13CEC"/>
    <w:rsid w:val="00C13E19"/>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5BE1"/>
    <w:rsid w:val="00C26C5A"/>
    <w:rsid w:val="00C26D8A"/>
    <w:rsid w:val="00C27258"/>
    <w:rsid w:val="00C279ED"/>
    <w:rsid w:val="00C3248B"/>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3E"/>
    <w:rsid w:val="00C45EF1"/>
    <w:rsid w:val="00C4662F"/>
    <w:rsid w:val="00C46745"/>
    <w:rsid w:val="00C46BB0"/>
    <w:rsid w:val="00C47303"/>
    <w:rsid w:val="00C500C4"/>
    <w:rsid w:val="00C50E69"/>
    <w:rsid w:val="00C542C1"/>
    <w:rsid w:val="00C55D59"/>
    <w:rsid w:val="00C57336"/>
    <w:rsid w:val="00C5761A"/>
    <w:rsid w:val="00C60D5A"/>
    <w:rsid w:val="00C64F3F"/>
    <w:rsid w:val="00C65513"/>
    <w:rsid w:val="00C65814"/>
    <w:rsid w:val="00C6640C"/>
    <w:rsid w:val="00C6641E"/>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26AD"/>
    <w:rsid w:val="00C84CE2"/>
    <w:rsid w:val="00C854ED"/>
    <w:rsid w:val="00C85CDE"/>
    <w:rsid w:val="00C87901"/>
    <w:rsid w:val="00C914DD"/>
    <w:rsid w:val="00C918D7"/>
    <w:rsid w:val="00C923EB"/>
    <w:rsid w:val="00C92E08"/>
    <w:rsid w:val="00C97052"/>
    <w:rsid w:val="00CA04BA"/>
    <w:rsid w:val="00CA0EF2"/>
    <w:rsid w:val="00CA1F0F"/>
    <w:rsid w:val="00CA2A54"/>
    <w:rsid w:val="00CA3241"/>
    <w:rsid w:val="00CA32E2"/>
    <w:rsid w:val="00CA34C7"/>
    <w:rsid w:val="00CA4BCA"/>
    <w:rsid w:val="00CA4E94"/>
    <w:rsid w:val="00CA4F43"/>
    <w:rsid w:val="00CA5402"/>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4FE8"/>
    <w:rsid w:val="00CB5AD2"/>
    <w:rsid w:val="00CB70EA"/>
    <w:rsid w:val="00CB750C"/>
    <w:rsid w:val="00CB781E"/>
    <w:rsid w:val="00CC0723"/>
    <w:rsid w:val="00CC1A40"/>
    <w:rsid w:val="00CC2892"/>
    <w:rsid w:val="00CC3323"/>
    <w:rsid w:val="00CC3410"/>
    <w:rsid w:val="00CC4B81"/>
    <w:rsid w:val="00CC550A"/>
    <w:rsid w:val="00CC5B6E"/>
    <w:rsid w:val="00CC635F"/>
    <w:rsid w:val="00CC6CF9"/>
    <w:rsid w:val="00CC70E7"/>
    <w:rsid w:val="00CC7B1A"/>
    <w:rsid w:val="00CD0E73"/>
    <w:rsid w:val="00CD2E2D"/>
    <w:rsid w:val="00CD32CF"/>
    <w:rsid w:val="00CD407F"/>
    <w:rsid w:val="00CD40F9"/>
    <w:rsid w:val="00CD48CE"/>
    <w:rsid w:val="00CD557E"/>
    <w:rsid w:val="00CD5CD2"/>
    <w:rsid w:val="00CD5D7B"/>
    <w:rsid w:val="00CD5F3D"/>
    <w:rsid w:val="00CD5FE7"/>
    <w:rsid w:val="00CD604B"/>
    <w:rsid w:val="00CD62BA"/>
    <w:rsid w:val="00CD6EED"/>
    <w:rsid w:val="00CD6F3B"/>
    <w:rsid w:val="00CD74EC"/>
    <w:rsid w:val="00CE0241"/>
    <w:rsid w:val="00CE031C"/>
    <w:rsid w:val="00CE06B3"/>
    <w:rsid w:val="00CE152A"/>
    <w:rsid w:val="00CE1BA4"/>
    <w:rsid w:val="00CE26CD"/>
    <w:rsid w:val="00CE67DC"/>
    <w:rsid w:val="00CE6D3D"/>
    <w:rsid w:val="00CE6F91"/>
    <w:rsid w:val="00CE7A3E"/>
    <w:rsid w:val="00CE7AC6"/>
    <w:rsid w:val="00CE7F2F"/>
    <w:rsid w:val="00CE7FC8"/>
    <w:rsid w:val="00CF0710"/>
    <w:rsid w:val="00CF09C5"/>
    <w:rsid w:val="00CF18E7"/>
    <w:rsid w:val="00CF220C"/>
    <w:rsid w:val="00CF2371"/>
    <w:rsid w:val="00CF2FCC"/>
    <w:rsid w:val="00CF3904"/>
    <w:rsid w:val="00CF3CC2"/>
    <w:rsid w:val="00CF4AED"/>
    <w:rsid w:val="00CF6C69"/>
    <w:rsid w:val="00D01664"/>
    <w:rsid w:val="00D03243"/>
    <w:rsid w:val="00D038CC"/>
    <w:rsid w:val="00D03FF6"/>
    <w:rsid w:val="00D04206"/>
    <w:rsid w:val="00D04BA7"/>
    <w:rsid w:val="00D10628"/>
    <w:rsid w:val="00D11488"/>
    <w:rsid w:val="00D11590"/>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347"/>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3F7D"/>
    <w:rsid w:val="00D44580"/>
    <w:rsid w:val="00D44C49"/>
    <w:rsid w:val="00D44D08"/>
    <w:rsid w:val="00D4567B"/>
    <w:rsid w:val="00D459E4"/>
    <w:rsid w:val="00D46E51"/>
    <w:rsid w:val="00D47FBF"/>
    <w:rsid w:val="00D505CA"/>
    <w:rsid w:val="00D50A35"/>
    <w:rsid w:val="00D51B1F"/>
    <w:rsid w:val="00D523B4"/>
    <w:rsid w:val="00D52898"/>
    <w:rsid w:val="00D52F6C"/>
    <w:rsid w:val="00D53584"/>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28B5"/>
    <w:rsid w:val="00D73299"/>
    <w:rsid w:val="00D7439F"/>
    <w:rsid w:val="00D749FB"/>
    <w:rsid w:val="00D76700"/>
    <w:rsid w:val="00D76E1B"/>
    <w:rsid w:val="00D77BDD"/>
    <w:rsid w:val="00D80D66"/>
    <w:rsid w:val="00D80FC6"/>
    <w:rsid w:val="00D812EF"/>
    <w:rsid w:val="00D81874"/>
    <w:rsid w:val="00D81C11"/>
    <w:rsid w:val="00D81F82"/>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390"/>
    <w:rsid w:val="00DA6E91"/>
    <w:rsid w:val="00DA7BE5"/>
    <w:rsid w:val="00DB0303"/>
    <w:rsid w:val="00DB1A75"/>
    <w:rsid w:val="00DB2617"/>
    <w:rsid w:val="00DB2789"/>
    <w:rsid w:val="00DB2F15"/>
    <w:rsid w:val="00DB302D"/>
    <w:rsid w:val="00DB41EC"/>
    <w:rsid w:val="00DB4272"/>
    <w:rsid w:val="00DB61B3"/>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55B"/>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699A"/>
    <w:rsid w:val="00DF79BF"/>
    <w:rsid w:val="00E0017A"/>
    <w:rsid w:val="00E0231E"/>
    <w:rsid w:val="00E02D1C"/>
    <w:rsid w:val="00E03F93"/>
    <w:rsid w:val="00E04C16"/>
    <w:rsid w:val="00E04C92"/>
    <w:rsid w:val="00E0554D"/>
    <w:rsid w:val="00E05EA6"/>
    <w:rsid w:val="00E05ED3"/>
    <w:rsid w:val="00E105AA"/>
    <w:rsid w:val="00E106F4"/>
    <w:rsid w:val="00E1159D"/>
    <w:rsid w:val="00E11B68"/>
    <w:rsid w:val="00E12AF6"/>
    <w:rsid w:val="00E135CE"/>
    <w:rsid w:val="00E142D4"/>
    <w:rsid w:val="00E145C5"/>
    <w:rsid w:val="00E15DD0"/>
    <w:rsid w:val="00E16615"/>
    <w:rsid w:val="00E178A6"/>
    <w:rsid w:val="00E17B42"/>
    <w:rsid w:val="00E17DDB"/>
    <w:rsid w:val="00E20979"/>
    <w:rsid w:val="00E21248"/>
    <w:rsid w:val="00E21A5B"/>
    <w:rsid w:val="00E21ADB"/>
    <w:rsid w:val="00E22C6C"/>
    <w:rsid w:val="00E23330"/>
    <w:rsid w:val="00E238A6"/>
    <w:rsid w:val="00E23FCD"/>
    <w:rsid w:val="00E24850"/>
    <w:rsid w:val="00E257BE"/>
    <w:rsid w:val="00E26AF6"/>
    <w:rsid w:val="00E2762F"/>
    <w:rsid w:val="00E305B5"/>
    <w:rsid w:val="00E30ED2"/>
    <w:rsid w:val="00E312DC"/>
    <w:rsid w:val="00E31D05"/>
    <w:rsid w:val="00E32232"/>
    <w:rsid w:val="00E3299E"/>
    <w:rsid w:val="00E32E44"/>
    <w:rsid w:val="00E32FDB"/>
    <w:rsid w:val="00E343FA"/>
    <w:rsid w:val="00E3471A"/>
    <w:rsid w:val="00E35F55"/>
    <w:rsid w:val="00E374EB"/>
    <w:rsid w:val="00E37B21"/>
    <w:rsid w:val="00E40A07"/>
    <w:rsid w:val="00E415C0"/>
    <w:rsid w:val="00E4357D"/>
    <w:rsid w:val="00E43DC7"/>
    <w:rsid w:val="00E44017"/>
    <w:rsid w:val="00E45371"/>
    <w:rsid w:val="00E454B9"/>
    <w:rsid w:val="00E45874"/>
    <w:rsid w:val="00E45E87"/>
    <w:rsid w:val="00E46C86"/>
    <w:rsid w:val="00E475F2"/>
    <w:rsid w:val="00E47E03"/>
    <w:rsid w:val="00E50117"/>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6DAD"/>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00F5"/>
    <w:rsid w:val="00E81AEE"/>
    <w:rsid w:val="00E83C18"/>
    <w:rsid w:val="00E84FC9"/>
    <w:rsid w:val="00E84FF0"/>
    <w:rsid w:val="00E8516C"/>
    <w:rsid w:val="00E8634B"/>
    <w:rsid w:val="00E86FE7"/>
    <w:rsid w:val="00E879BD"/>
    <w:rsid w:val="00E90A78"/>
    <w:rsid w:val="00E922B9"/>
    <w:rsid w:val="00E93AD5"/>
    <w:rsid w:val="00E94044"/>
    <w:rsid w:val="00E94296"/>
    <w:rsid w:val="00E94996"/>
    <w:rsid w:val="00E94AB3"/>
    <w:rsid w:val="00E96D9E"/>
    <w:rsid w:val="00EA0280"/>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E8D"/>
    <w:rsid w:val="00EC5CD6"/>
    <w:rsid w:val="00EC6065"/>
    <w:rsid w:val="00EC619B"/>
    <w:rsid w:val="00EC6637"/>
    <w:rsid w:val="00EC6E39"/>
    <w:rsid w:val="00EC6ED0"/>
    <w:rsid w:val="00EC70E5"/>
    <w:rsid w:val="00EC716B"/>
    <w:rsid w:val="00ED0174"/>
    <w:rsid w:val="00ED06E0"/>
    <w:rsid w:val="00ED0851"/>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728"/>
    <w:rsid w:val="00F15BB6"/>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1467"/>
    <w:rsid w:val="00F429E8"/>
    <w:rsid w:val="00F43901"/>
    <w:rsid w:val="00F43B5F"/>
    <w:rsid w:val="00F43C14"/>
    <w:rsid w:val="00F4529C"/>
    <w:rsid w:val="00F45A20"/>
    <w:rsid w:val="00F45C9E"/>
    <w:rsid w:val="00F46A50"/>
    <w:rsid w:val="00F50657"/>
    <w:rsid w:val="00F50BBD"/>
    <w:rsid w:val="00F50CE4"/>
    <w:rsid w:val="00F50E9C"/>
    <w:rsid w:val="00F5119A"/>
    <w:rsid w:val="00F53531"/>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B3F"/>
    <w:rsid w:val="00F70D29"/>
    <w:rsid w:val="00F7155A"/>
    <w:rsid w:val="00F72A04"/>
    <w:rsid w:val="00F738D4"/>
    <w:rsid w:val="00F73BD9"/>
    <w:rsid w:val="00F73CDC"/>
    <w:rsid w:val="00F75151"/>
    <w:rsid w:val="00F762F3"/>
    <w:rsid w:val="00F77FDE"/>
    <w:rsid w:val="00F811A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C4C"/>
    <w:rsid w:val="00FC341C"/>
    <w:rsid w:val="00FC37A9"/>
    <w:rsid w:val="00FC3F82"/>
    <w:rsid w:val="00FC5CCA"/>
    <w:rsid w:val="00FC65C3"/>
    <w:rsid w:val="00FC65CD"/>
    <w:rsid w:val="00FC691E"/>
    <w:rsid w:val="00FC708A"/>
    <w:rsid w:val="00FD1249"/>
    <w:rsid w:val="00FD15B7"/>
    <w:rsid w:val="00FD1EBC"/>
    <w:rsid w:val="00FD3C40"/>
    <w:rsid w:val="00FD3DA8"/>
    <w:rsid w:val="00FD43F7"/>
    <w:rsid w:val="00FD4482"/>
    <w:rsid w:val="00FD509B"/>
    <w:rsid w:val="00FD5350"/>
    <w:rsid w:val="00FD7044"/>
    <w:rsid w:val="00FD7ACA"/>
    <w:rsid w:val="00FD7D57"/>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450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C121A"/>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245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5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450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C121A"/>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245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5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26573915">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6C730-F80F-45D4-8AD0-DFFE2A8D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9285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22</cp:revision>
  <cp:lastPrinted>2013-02-08T15:42:00Z</cp:lastPrinted>
  <dcterms:created xsi:type="dcterms:W3CDTF">2016-02-09T12:55:00Z</dcterms:created>
  <dcterms:modified xsi:type="dcterms:W3CDTF">2016-02-09T17:54:00Z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